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70"/>
        <w:widowControl w:val="false"/>
        <w:pBdr/>
        <w:spacing w:after="0" w:line="240" w:lineRule="auto"/>
        <w:ind w:firstLine="708" w:left="2832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Bdr/>
        <w:spacing/>
        <w:ind/>
        <w:jc w:val="right"/>
        <w:outlineLvl w:val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</w:t>
      </w:r>
      <w:r>
        <w:rPr>
          <w:b/>
          <w:sz w:val="28"/>
          <w:szCs w:val="28"/>
          <w:lang w:val="kk-KZ"/>
        </w:rPr>
      </w:r>
    </w:p>
    <w:p>
      <w:pPr>
        <w:pBdr/>
        <w:spacing/>
        <w:ind/>
        <w:jc w:val="both"/>
        <w:outlineLvl w:val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               </w:t>
      </w:r>
      <w:r>
        <w:rPr>
          <w:b/>
          <w:sz w:val="28"/>
          <w:szCs w:val="28"/>
          <w:lang w:val="kk-KZ"/>
        </w:rPr>
        <w:t xml:space="preserve">    </w:t>
      </w:r>
      <w:r>
        <w:rPr>
          <w:rStyle w:val="673"/>
          <w:b/>
          <w:sz w:val="28"/>
          <w:szCs w:val="28"/>
          <w:lang w:val="kk-KZ"/>
        </w:rPr>
        <w:t xml:space="preserve">Техникалық</w:t>
      </w:r>
      <w:r>
        <w:rPr>
          <w:b/>
          <w:sz w:val="28"/>
          <w:szCs w:val="28"/>
          <w:lang w:val="kk-KZ"/>
        </w:rPr>
        <w:t xml:space="preserve"> </w:t>
      </w:r>
      <w:r>
        <w:rPr>
          <w:rStyle w:val="673"/>
          <w:b/>
          <w:sz w:val="28"/>
          <w:szCs w:val="28"/>
          <w:lang w:val="kk-KZ"/>
        </w:rPr>
        <w:t xml:space="preserve">сипаттама</w:t>
      </w:r>
      <w:r>
        <w:rPr>
          <w:b/>
          <w:sz w:val="28"/>
          <w:szCs w:val="28"/>
          <w:lang w:val="kk-KZ"/>
        </w:rPr>
        <w:t xml:space="preserve"> ведомстводан тыс </w:t>
      </w:r>
      <w:r>
        <w:rPr>
          <w:rStyle w:val="673"/>
          <w:b/>
          <w:sz w:val="28"/>
          <w:szCs w:val="28"/>
          <w:lang w:val="kk-KZ"/>
        </w:rPr>
        <w:t xml:space="preserve">кешенді</w:t>
      </w:r>
      <w:r>
        <w:rPr>
          <w:b/>
          <w:sz w:val="28"/>
          <w:szCs w:val="28"/>
          <w:lang w:val="kk-KZ"/>
        </w:rPr>
        <w:t xml:space="preserve"> </w:t>
      </w:r>
      <w:r>
        <w:rPr>
          <w:rStyle w:val="673"/>
          <w:b/>
          <w:sz w:val="28"/>
          <w:szCs w:val="28"/>
          <w:lang w:val="kk-KZ"/>
        </w:rPr>
        <w:t xml:space="preserve">сараптама</w:t>
      </w:r>
      <w:r>
        <w:rPr>
          <w:b/>
          <w:sz w:val="28"/>
          <w:szCs w:val="28"/>
          <w:lang w:val="kk-KZ"/>
        </w:rPr>
        <w:t xml:space="preserve">      </w:t>
      </w:r>
      <w:r>
        <w:rPr>
          <w:b/>
          <w:sz w:val="28"/>
          <w:szCs w:val="28"/>
          <w:lang w:val="kk-KZ"/>
        </w:rPr>
      </w:r>
    </w:p>
    <w:p>
      <w:pPr>
        <w:pBdr/>
        <w:spacing/>
        <w:ind/>
        <w:jc w:val="both"/>
        <w:outlineLvl w:val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</w:t>
      </w:r>
      <w:r>
        <w:rPr>
          <w:rStyle w:val="673"/>
          <w:b/>
          <w:sz w:val="28"/>
          <w:szCs w:val="28"/>
          <w:lang w:val="kk-KZ"/>
        </w:rPr>
        <w:t xml:space="preserve">қызметтеріне</w:t>
      </w:r>
      <w:r>
        <w:rPr>
          <w:b/>
          <w:sz w:val="28"/>
          <w:szCs w:val="28"/>
          <w:lang w:val="kk-KZ"/>
        </w:rPr>
        <w:t xml:space="preserve"> </w:t>
      </w:r>
      <w:r>
        <w:rPr>
          <w:rStyle w:val="673"/>
          <w:b/>
          <w:sz w:val="28"/>
          <w:szCs w:val="28"/>
          <w:lang w:val="kk-KZ"/>
        </w:rPr>
        <w:t xml:space="preserve">жобалау-сметалық</w:t>
      </w:r>
      <w:r>
        <w:rPr>
          <w:b/>
          <w:sz w:val="28"/>
          <w:szCs w:val="28"/>
          <w:lang w:val="kk-KZ"/>
        </w:rPr>
        <w:t xml:space="preserve"> </w:t>
      </w:r>
      <w:r>
        <w:rPr>
          <w:rStyle w:val="673"/>
          <w:b/>
          <w:sz w:val="28"/>
          <w:szCs w:val="28"/>
          <w:lang w:val="kk-KZ"/>
        </w:rPr>
        <w:t xml:space="preserve">құжаттама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</w:r>
    </w:p>
    <w:p>
      <w:pPr>
        <w:pBdr/>
        <w:spacing/>
        <w:ind/>
        <w:jc w:val="right"/>
        <w:outlineLvl w:val="0"/>
        <w:rPr>
          <w:rStyle w:val="673"/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>
        <w:rPr>
          <w:rStyle w:val="673"/>
          <w:sz w:val="28"/>
          <w:szCs w:val="28"/>
          <w:lang w:val="kk-KZ"/>
        </w:rPr>
      </w:r>
    </w:p>
    <w:p>
      <w:pPr>
        <w:pBdr/>
        <w:spacing/>
        <w:ind/>
        <w:jc w:val="both"/>
        <w:outlineLvl w:val="0"/>
        <w:rPr>
          <w:sz w:val="28"/>
          <w:szCs w:val="28"/>
          <w:lang w:val="kk-KZ"/>
        </w:rPr>
      </w:pPr>
      <w:r>
        <w:rPr>
          <w:rStyle w:val="673"/>
          <w:sz w:val="28"/>
          <w:szCs w:val="28"/>
          <w:lang w:val="kk-KZ"/>
        </w:rPr>
        <w:t xml:space="preserve">    Қызметтерге</w:t>
      </w:r>
      <w:r>
        <w:rPr>
          <w:sz w:val="28"/>
          <w:szCs w:val="28"/>
          <w:lang w:val="kk-KZ"/>
        </w:rPr>
        <w:t xml:space="preserve"> қойылатын </w:t>
      </w:r>
      <w:r>
        <w:rPr>
          <w:rStyle w:val="673"/>
          <w:sz w:val="28"/>
          <w:szCs w:val="28"/>
          <w:lang w:val="kk-KZ"/>
        </w:rPr>
        <w:t xml:space="preserve">талаптар</w:t>
      </w:r>
      <w:r>
        <w:rPr>
          <w:sz w:val="28"/>
          <w:szCs w:val="28"/>
          <w:lang w:val="kk-KZ"/>
        </w:rPr>
        <w:t xml:space="preserve">: </w:t>
      </w:r>
      <w:r>
        <w:rPr>
          <w:rStyle w:val="673"/>
          <w:sz w:val="28"/>
          <w:szCs w:val="28"/>
          <w:lang w:val="kk-KZ"/>
        </w:rPr>
        <w:t xml:space="preserve">Өнім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беруші</w:t>
      </w:r>
      <w:r>
        <w:rPr>
          <w:sz w:val="28"/>
          <w:szCs w:val="28"/>
          <w:lang w:val="kk-KZ"/>
        </w:rPr>
        <w:t xml:space="preserve">" </w:t>
      </w:r>
      <w:r>
        <w:rPr>
          <w:rStyle w:val="673"/>
          <w:sz w:val="28"/>
          <w:szCs w:val="28"/>
          <w:lang w:val="kk-KZ"/>
        </w:rPr>
        <w:t xml:space="preserve">Абылай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хан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30"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мекенжайы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бойынша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Астана</w:t>
      </w:r>
      <w:r>
        <w:rPr>
          <w:sz w:val="28"/>
          <w:szCs w:val="28"/>
          <w:lang w:val="kk-KZ"/>
        </w:rPr>
        <w:t xml:space="preserve"> қаласының </w:t>
      </w:r>
      <w:r>
        <w:rPr>
          <w:rStyle w:val="673"/>
          <w:sz w:val="28"/>
          <w:szCs w:val="28"/>
          <w:lang w:val="kk-KZ"/>
        </w:rPr>
        <w:t xml:space="preserve">№11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Қалалық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емханасы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"ШЖҚ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МКК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шатырын,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қасбетін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күрделі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жөндеу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және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абаттандыру"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жұмыс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жобасына</w:t>
      </w:r>
      <w:r>
        <w:rPr>
          <w:sz w:val="28"/>
          <w:szCs w:val="28"/>
          <w:lang w:val="kk-KZ"/>
        </w:rPr>
        <w:t xml:space="preserve"> ведомстводан тыс </w:t>
      </w:r>
      <w:r>
        <w:rPr>
          <w:rStyle w:val="673"/>
          <w:sz w:val="28"/>
          <w:szCs w:val="28"/>
          <w:lang w:val="kk-KZ"/>
        </w:rPr>
        <w:t xml:space="preserve">кешенді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сараптама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жүргізуі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тиіс</w:t>
      </w:r>
      <w:r>
        <w:rPr>
          <w:sz w:val="28"/>
          <w:szCs w:val="28"/>
          <w:lang w:val="kk-KZ"/>
        </w:rPr>
        <w:t xml:space="preserve">:</w:t>
      </w:r>
      <w:r>
        <w:rPr>
          <w:sz w:val="28"/>
          <w:szCs w:val="28"/>
          <w:lang w:val="kk-KZ"/>
        </w:rPr>
      </w:r>
    </w:p>
    <w:p>
      <w:pPr>
        <w:pStyle w:val="669"/>
        <w:pBdr/>
        <w:spacing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Ведомстводан тыс кешенді сараптаманы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құрылысқа арналған жобаларды ведомстводан тыс кешенді сараптама жүргізу үшін аккредиттеу туралы куәлігі бар ұйым орындауы тиіс және жобалық-смета құжатамасын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ың сәйкесті бөлімдер (бөлшек) бойынша тестіленген сарапшыларымен жүзеге асырылады. Тек қана Қазақстан Республикасының заңнамасымен мемлекеттік монополияға жүргізетін мемлекеттік сараптама ұйымына жатқызылған ведомстводан тыс кешенді сараптаманы қоспағанда.</w:t>
      </w:r>
      <w:r>
        <w:rPr>
          <w:rFonts w:ascii="Times New Roman" w:hAnsi="Times New Roman" w:cs="Times New Roman"/>
          <w:sz w:val="28"/>
          <w:szCs w:val="28"/>
          <w:lang w:val="kk-KZ"/>
        </w:rPr>
      </w:r>
    </w:p>
    <w:p>
      <w:pPr>
        <w:pStyle w:val="669"/>
        <w:pBdr/>
        <w:spacing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Конкурстық өтінімнің құрамында, әлеуетті жеткізуші құрылысқа арналған ведомств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одан тыс кешенді сараптама жүргізу үшін аккредиттеу туралы куәліктің көшірмесін беруі тиіс, Қазақстан Республикасының заңнамасымен мемлекеттік монополияға жүргізетін мемлекеттік сараптама ұйымына жатқызылған ведомстводан тыс кешенді сараптаманы қоспағанда.</w:t>
      </w:r>
      <w:r>
        <w:rPr>
          <w:rFonts w:ascii="Times New Roman" w:hAnsi="Times New Roman" w:cs="Times New Roman"/>
          <w:sz w:val="28"/>
          <w:szCs w:val="28"/>
          <w:lang w:val="kk-KZ"/>
        </w:rPr>
      </w:r>
    </w:p>
    <w:p>
      <w:pPr>
        <w:pStyle w:val="669"/>
        <w:pBdr/>
        <w:spacing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Конкурстық өтінімнің құрамында</w:t>
      </w:r>
      <w:r>
        <w:rPr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(№2 Қосымша) жобалау-сметалық құжаттама танысу үшін қоса беріледі.</w:t>
      </w:r>
      <w:r>
        <w:rPr>
          <w:rFonts w:ascii="Times New Roman" w:hAnsi="Times New Roman" w:cs="Times New Roman"/>
          <w:sz w:val="28"/>
          <w:szCs w:val="28"/>
          <w:lang w:val="kk-KZ"/>
        </w:rPr>
      </w:r>
    </w:p>
    <w:p>
      <w:pPr>
        <w:pStyle w:val="669"/>
        <w:pBdr/>
        <w:spacing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</w:r>
      <w:r>
        <w:rPr>
          <w:rFonts w:ascii="Times New Roman" w:hAnsi="Times New Roman" w:cs="Times New Roman"/>
          <w:sz w:val="28"/>
          <w:szCs w:val="28"/>
          <w:lang w:val="kk-KZ"/>
        </w:rPr>
      </w:r>
    </w:p>
    <w:p>
      <w:pPr>
        <w:pStyle w:val="669"/>
        <w:pBdr/>
        <w:spacing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</w:r>
      <w:r>
        <w:rPr>
          <w:rFonts w:ascii="Times New Roman" w:hAnsi="Times New Roman" w:cs="Times New Roman"/>
          <w:b/>
          <w:sz w:val="28"/>
          <w:szCs w:val="28"/>
          <w:lang w:val="kk-KZ"/>
        </w:rPr>
      </w:r>
    </w:p>
    <w:p>
      <w:pPr>
        <w:pBdr/>
        <w:tabs>
          <w:tab w:val="left" w:leader="none" w:pos="567"/>
        </w:tabs>
        <w:spacing/>
        <w:ind w:right="-1"/>
        <w:contextualSpacing w:val="true"/>
        <w:jc w:val="both"/>
        <w:rPr>
          <w:b/>
          <w:sz w:val="28"/>
          <w:szCs w:val="28"/>
          <w:lang w:val="kk-KZ" w:eastAsia="ar-SA"/>
        </w:rPr>
      </w:pPr>
      <w:r>
        <w:rPr>
          <w:b/>
          <w:sz w:val="28"/>
          <w:szCs w:val="28"/>
          <w:lang w:val="kk-KZ" w:eastAsia="ar-SA"/>
        </w:rPr>
      </w:r>
      <w:r>
        <w:rPr>
          <w:b/>
          <w:sz w:val="28"/>
          <w:szCs w:val="28"/>
          <w:lang w:val="kk-KZ" w:eastAsia="ar-SA"/>
        </w:rPr>
      </w:r>
    </w:p>
    <w:p>
      <w:pPr>
        <w:pBdr/>
        <w:spacing/>
        <w:ind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Жеткізу орны: </w:t>
      </w:r>
      <w:r>
        <w:rPr>
          <w:rStyle w:val="673"/>
          <w:sz w:val="28"/>
          <w:szCs w:val="28"/>
          <w:lang w:val="kk-KZ"/>
        </w:rPr>
        <w:t xml:space="preserve">Астана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қ</w:t>
      </w:r>
      <w:r>
        <w:rPr>
          <w:sz w:val="28"/>
          <w:szCs w:val="28"/>
          <w:lang w:val="kk-KZ"/>
        </w:rPr>
        <w:t xml:space="preserve">. </w:t>
      </w:r>
      <w:r>
        <w:rPr>
          <w:rStyle w:val="673"/>
          <w:sz w:val="28"/>
          <w:szCs w:val="28"/>
          <w:lang w:val="kk-KZ"/>
        </w:rPr>
        <w:t xml:space="preserve">Абылай</w:t>
      </w:r>
      <w:r>
        <w:rPr>
          <w:sz w:val="28"/>
          <w:szCs w:val="28"/>
          <w:lang w:val="kk-KZ"/>
        </w:rPr>
        <w:t xml:space="preserve"> </w:t>
      </w:r>
      <w:r>
        <w:rPr>
          <w:rStyle w:val="673"/>
          <w:sz w:val="28"/>
          <w:szCs w:val="28"/>
          <w:lang w:val="kk-KZ"/>
        </w:rPr>
        <w:t xml:space="preserve">хан</w:t>
      </w:r>
      <w:r>
        <w:rPr>
          <w:sz w:val="28"/>
          <w:szCs w:val="28"/>
          <w:lang w:val="kk-KZ"/>
        </w:rPr>
        <w:t xml:space="preserve"> даңғылы, </w:t>
      </w:r>
      <w:r>
        <w:rPr>
          <w:rStyle w:val="673"/>
          <w:sz w:val="28"/>
          <w:szCs w:val="28"/>
          <w:lang w:val="kk-KZ"/>
        </w:rPr>
        <w:t xml:space="preserve">30</w:t>
      </w:r>
      <w:r>
        <w:rPr>
          <w:color w:val="000000"/>
          <w:sz w:val="28"/>
          <w:szCs w:val="28"/>
          <w:lang w:val="kk-KZ"/>
        </w:rPr>
      </w:r>
    </w:p>
    <w:p>
      <w:pPr>
        <w:pBdr/>
        <w:spacing/>
        <w:ind/>
        <w:jc w:val="both"/>
        <w:rPr>
          <w:rStyle w:val="672"/>
          <w:bCs/>
          <w:i w:val="0"/>
          <w:sz w:val="28"/>
          <w:szCs w:val="28"/>
          <w:shd w:val="clear" w:color="auto" w:fill="ffffff"/>
          <w:lang w:val="kk-KZ"/>
        </w:rPr>
      </w:pPr>
      <w:r>
        <w:rPr>
          <w:bCs/>
          <w:i w:val="0"/>
          <w:sz w:val="28"/>
          <w:szCs w:val="28"/>
          <w:shd w:val="clear" w:color="auto" w:fill="ffffff"/>
          <w:lang w:val="kk-KZ"/>
        </w:rPr>
      </w:r>
      <w:r>
        <w:rPr>
          <w:rStyle w:val="672"/>
          <w:bCs/>
          <w:i w:val="0"/>
          <w:sz w:val="28"/>
          <w:szCs w:val="28"/>
          <w:shd w:val="clear" w:color="auto" w:fill="ffffff"/>
          <w:lang w:val="kk-KZ"/>
        </w:rPr>
      </w:r>
    </w:p>
    <w:p>
      <w:pPr>
        <w:pBdr/>
        <w:spacing/>
        <w:ind/>
        <w:jc w:val="both"/>
        <w:rPr>
          <w:rStyle w:val="672"/>
          <w:bCs/>
          <w:i w:val="0"/>
          <w:sz w:val="28"/>
          <w:szCs w:val="28"/>
          <w:shd w:val="clear" w:color="auto" w:fill="ffffff"/>
          <w:lang w:val="kk-KZ"/>
        </w:rPr>
      </w:pPr>
      <w:r>
        <w:rPr>
          <w:bCs/>
          <w:i w:val="0"/>
          <w:sz w:val="28"/>
          <w:szCs w:val="28"/>
          <w:shd w:val="clear" w:color="auto" w:fill="ffffff"/>
          <w:lang w:val="kk-KZ"/>
        </w:rPr>
      </w:r>
      <w:r>
        <w:rPr>
          <w:rStyle w:val="672"/>
          <w:bCs/>
          <w:i w:val="0"/>
          <w:sz w:val="28"/>
          <w:szCs w:val="28"/>
          <w:shd w:val="clear" w:color="auto" w:fill="ffffff"/>
          <w:lang w:val="kk-KZ"/>
        </w:rPr>
      </w:r>
    </w:p>
    <w:p>
      <w:pPr>
        <w:pBdr/>
        <w:spacing/>
        <w:ind/>
        <w:jc w:val="both"/>
        <w:rPr>
          <w:rStyle w:val="672"/>
          <w:bCs/>
          <w:i w:val="0"/>
          <w:sz w:val="28"/>
          <w:szCs w:val="28"/>
          <w:shd w:val="clear" w:color="auto" w:fill="ffffff"/>
          <w:lang w:val="kk-KZ"/>
        </w:rPr>
      </w:pPr>
      <w:r>
        <w:rPr>
          <w:bCs/>
          <w:i w:val="0"/>
          <w:sz w:val="28"/>
          <w:szCs w:val="28"/>
          <w:shd w:val="clear" w:color="auto" w:fill="ffffff"/>
          <w:lang w:val="kk-KZ"/>
        </w:rPr>
      </w:r>
      <w:r>
        <w:rPr>
          <w:rStyle w:val="672"/>
          <w:bCs/>
          <w:i w:val="0"/>
          <w:sz w:val="28"/>
          <w:szCs w:val="28"/>
          <w:shd w:val="clear" w:color="auto" w:fill="ffffff"/>
          <w:lang w:val="kk-KZ"/>
        </w:rPr>
      </w:r>
    </w:p>
    <w:p>
      <w:pPr>
        <w:pBdr/>
        <w:spacing/>
        <w:ind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>
        <w:rPr>
          <w:b/>
          <w:sz w:val="28"/>
          <w:szCs w:val="28"/>
          <w:lang w:val="kk-KZ"/>
        </w:rPr>
      </w:r>
    </w:p>
    <w:p>
      <w:pPr>
        <w:pBdr/>
        <w:spacing/>
        <w:ind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</w:t>
      </w:r>
      <w:r>
        <w:rPr>
          <w:b/>
          <w:color w:val="000000"/>
          <w:sz w:val="28"/>
          <w:szCs w:val="28"/>
          <w:lang w:val="kk-KZ"/>
        </w:rPr>
      </w:r>
    </w:p>
    <w:p>
      <w:pPr>
        <w:pBdr/>
        <w:spacing/>
        <w:ind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</w:r>
      <w:r>
        <w:rPr>
          <w:b/>
          <w:color w:val="000000"/>
          <w:sz w:val="28"/>
          <w:szCs w:val="28"/>
          <w:lang w:val="kk-KZ"/>
        </w:rPr>
      </w:r>
    </w:p>
    <w:p>
      <w:pPr>
        <w:pBdr/>
        <w:spacing/>
        <w:ind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</w:r>
      <w:r>
        <w:rPr>
          <w:b/>
          <w:color w:val="000000"/>
          <w:sz w:val="28"/>
          <w:szCs w:val="28"/>
          <w:lang w:val="kk-KZ"/>
        </w:rPr>
      </w:r>
    </w:p>
    <w:p>
      <w:pPr>
        <w:pBdr/>
        <w:spacing/>
        <w:ind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>
        <w:rPr>
          <w:color w:val="000000"/>
          <w:sz w:val="28"/>
          <w:szCs w:val="28"/>
          <w:lang w:val="kk-KZ"/>
        </w:rPr>
      </w:r>
    </w:p>
    <w:p>
      <w:pPr>
        <w:pBdr/>
        <w:spacing/>
        <w:ind w:firstLine="567"/>
        <w:rPr>
          <w:b/>
          <w:lang w:val="kk-KZ"/>
        </w:rPr>
      </w:pPr>
      <w:r>
        <w:rPr>
          <w:b/>
          <w:lang w:val="kk-KZ"/>
        </w:rPr>
      </w:r>
      <w:r>
        <w:rPr>
          <w:b/>
          <w:lang w:val="kk-KZ"/>
        </w:rPr>
      </w:r>
    </w:p>
    <w:p>
      <w:pPr>
        <w:pBdr/>
        <w:spacing/>
        <w:ind w:firstLine="2688" w:left="2841"/>
        <w:rPr>
          <w:b/>
          <w:lang w:val="kk-KZ"/>
        </w:rPr>
      </w:pPr>
      <w:r>
        <w:rPr>
          <w:b/>
          <w:lang w:val="kk-KZ"/>
        </w:rPr>
      </w:r>
      <w:r>
        <w:rPr>
          <w:b/>
          <w:lang w:val="kk-KZ"/>
        </w:rPr>
      </w:r>
    </w:p>
    <w:p>
      <w:pPr>
        <w:pBdr/>
        <w:spacing/>
        <w:ind w:firstLine="2688" w:left="284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>
        <w:rPr>
          <w:b/>
          <w:sz w:val="28"/>
          <w:szCs w:val="28"/>
          <w:lang w:val="kk-KZ"/>
        </w:rPr>
      </w:r>
    </w:p>
    <w:p>
      <w:pPr>
        <w:pBdr/>
        <w:spacing/>
        <w:ind w:firstLine="2688" w:left="284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>
        <w:rPr>
          <w:b/>
          <w:sz w:val="28"/>
          <w:szCs w:val="28"/>
          <w:lang w:val="kk-KZ"/>
        </w:rPr>
      </w:r>
    </w:p>
    <w:p>
      <w:pPr>
        <w:pBdr/>
        <w:spacing/>
        <w:ind w:firstLine="2688" w:left="284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>
        <w:rPr>
          <w:b/>
          <w:sz w:val="28"/>
          <w:szCs w:val="28"/>
          <w:lang w:val="kk-KZ"/>
        </w:rPr>
      </w:r>
    </w:p>
    <w:p>
      <w:pPr>
        <w:pBdr/>
        <w:spacing/>
        <w:ind w:firstLine="2688" w:left="284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>
        <w:rPr>
          <w:b/>
          <w:sz w:val="28"/>
          <w:szCs w:val="28"/>
          <w:lang w:val="kk-KZ"/>
        </w:rPr>
      </w:r>
    </w:p>
    <w:p>
      <w:pPr>
        <w:pBdr/>
        <w:spacing/>
        <w:ind w:firstLine="2688" w:left="284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>
        <w:rPr>
          <w:b/>
          <w:sz w:val="28"/>
          <w:szCs w:val="28"/>
          <w:lang w:val="kk-KZ"/>
        </w:rPr>
      </w:r>
    </w:p>
    <w:p>
      <w:pPr>
        <w:pBdr/>
        <w:spacing/>
        <w:ind w:firstLine="2688" w:left="284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>
        <w:rPr>
          <w:b/>
          <w:sz w:val="28"/>
          <w:szCs w:val="28"/>
          <w:lang w:val="kk-KZ"/>
        </w:rPr>
      </w:r>
    </w:p>
    <w:p>
      <w:pPr>
        <w:pBdr/>
        <w:spacing/>
        <w:ind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>
        <w:rPr>
          <w:b/>
          <w:sz w:val="28"/>
          <w:szCs w:val="28"/>
          <w:lang w:val="kk-KZ"/>
        </w:rPr>
      </w:r>
    </w:p>
    <w:p>
      <w:pPr>
        <w:pBdr/>
        <w:spacing/>
        <w:ind w:firstLine="2688" w:left="284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>
        <w:rPr>
          <w:b/>
          <w:sz w:val="28"/>
          <w:szCs w:val="28"/>
          <w:lang w:val="kk-KZ"/>
        </w:rPr>
      </w:r>
    </w:p>
    <w:p>
      <w:pPr>
        <w:pBdr/>
        <w:spacing/>
        <w:ind w:firstLine="2688" w:left="284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>
        <w:rPr>
          <w:b/>
          <w:sz w:val="28"/>
          <w:szCs w:val="28"/>
          <w:lang w:val="kk-KZ"/>
        </w:rPr>
      </w:r>
    </w:p>
    <w:p>
      <w:pPr>
        <w:pStyle w:val="670"/>
        <w:widowControl w:val="false"/>
        <w:pBdr/>
        <w:spacing w:after="0" w:line="240" w:lineRule="auto"/>
        <w:ind/>
        <w:jc w:val="lef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</w:r>
      <w:r>
        <w:rPr>
          <w:rFonts w:ascii="Times New Roman" w:hAnsi="Times New Roman"/>
          <w:b/>
          <w:sz w:val="24"/>
          <w:szCs w:val="24"/>
          <w:lang w:val="kk-KZ"/>
        </w:rPr>
      </w:r>
    </w:p>
    <w:p>
      <w:pPr>
        <w:pStyle w:val="670"/>
        <w:widowControl w:val="false"/>
        <w:pBdr/>
        <w:spacing w:after="0" w:line="240" w:lineRule="auto"/>
        <w:ind/>
        <w:jc w:val="lef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</w:r>
      <w:r>
        <w:rPr>
          <w:rFonts w:ascii="Times New Roman" w:hAnsi="Times New Roman"/>
          <w:b/>
          <w:sz w:val="24"/>
          <w:szCs w:val="24"/>
          <w:lang w:val="kk-KZ"/>
        </w:rPr>
      </w:r>
    </w:p>
    <w:p>
      <w:pPr>
        <w:pStyle w:val="670"/>
        <w:widowControl w:val="false"/>
        <w:pBdr/>
        <w:spacing w:after="0" w:line="240" w:lineRule="auto"/>
        <w:ind w:firstLine="708" w:left="2832"/>
        <w:jc w:val="lef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</w:r>
    </w:p>
    <w:p>
      <w:pPr>
        <w:pStyle w:val="670"/>
        <w:widowControl w:val="false"/>
        <w:pBdr/>
        <w:spacing w:after="0" w:line="240" w:lineRule="auto"/>
        <w:ind w:firstLine="708" w:left="2832"/>
        <w:jc w:val="lef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</w:r>
      <w:r>
        <w:rPr>
          <w:rFonts w:ascii="Times New Roman" w:hAnsi="Times New Roman"/>
          <w:b/>
          <w:sz w:val="24"/>
          <w:szCs w:val="24"/>
          <w:lang w:val="kk-KZ"/>
        </w:rPr>
      </w:r>
    </w:p>
    <w:p>
      <w:pPr>
        <w:pStyle w:val="670"/>
        <w:widowControl w:val="false"/>
        <w:pBdr/>
        <w:spacing w:after="0" w:line="240" w:lineRule="auto"/>
        <w:ind w:firstLine="708" w:left="2832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Техническая спецификация</w:t>
      </w:r>
      <w:r>
        <w:rPr>
          <w:rFonts w:ascii="Times New Roman" w:hAnsi="Times New Roman"/>
          <w:sz w:val="28"/>
          <w:szCs w:val="28"/>
        </w:rPr>
      </w:r>
    </w:p>
    <w:p>
      <w:pPr>
        <w:pStyle w:val="670"/>
        <w:widowControl w:val="false"/>
        <w:pBdr/>
        <w:spacing w:after="0" w:line="240" w:lineRule="auto"/>
        <w:ind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на услуги комплексной вневедомственной экспертизе 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70"/>
        <w:widowControl w:val="false"/>
        <w:pBdr/>
        <w:spacing w:after="0" w:line="240" w:lineRule="auto"/>
        <w:ind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проектно-сметной документации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70"/>
        <w:widowControl w:val="false"/>
        <w:pBdr/>
        <w:spacing w:after="0" w:line="240" w:lineRule="auto"/>
        <w:ind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69"/>
        <w:pBdr/>
        <w:spacing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69"/>
        <w:pBdr/>
        <w:spacing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Требования к услугам: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</w:r>
    </w:p>
    <w:p>
      <w:pPr>
        <w:pStyle w:val="669"/>
        <w:pBdr/>
        <w:spacing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tabs>
          <w:tab w:val="left" w:leader="none" w:pos="567"/>
        </w:tabs>
        <w:spacing/>
        <w:ind w:right="-1"/>
        <w:contextualSpacing w:val="true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Поставщик должен провести </w:t>
      </w:r>
      <w:r>
        <w:rPr>
          <w:sz w:val="28"/>
          <w:szCs w:val="28"/>
        </w:rPr>
        <w:t xml:space="preserve">комплексную вневедомственную экспертизу рабочего проекта «Капитальный ремонт кровли, фасада и благоустройство ГКП на ПХВ "Городская поликлиника №11" г Астана по адресу </w:t>
      </w:r>
      <w:r>
        <w:rPr>
          <w:sz w:val="28"/>
          <w:szCs w:val="28"/>
        </w:rPr>
        <w:t xml:space="preserve">Абылай</w:t>
      </w:r>
      <w:r>
        <w:rPr>
          <w:sz w:val="28"/>
          <w:szCs w:val="28"/>
        </w:rPr>
        <w:t xml:space="preserve"> хана 30»</w:t>
      </w:r>
      <w:r>
        <w:rPr>
          <w:b/>
          <w:sz w:val="28"/>
          <w:szCs w:val="28"/>
        </w:rPr>
        <w:t xml:space="preserve"> с выдачей положительного заключения:</w:t>
      </w:r>
      <w:r>
        <w:rPr>
          <w:b/>
          <w:sz w:val="28"/>
          <w:szCs w:val="28"/>
        </w:rPr>
      </w:r>
    </w:p>
    <w:p>
      <w:pPr>
        <w:pBdr/>
        <w:tabs>
          <w:tab w:val="left" w:leader="none" w:pos="567"/>
        </w:tabs>
        <w:spacing/>
        <w:ind w:right="-1"/>
        <w:contextualSpacing w:val="tru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Комплексная вневедомственная экспертиза должна быть произведена организацией имеющая свидетельство об аккредитации на право осуществления комплексной вневедомственной экспертизы проектов, предназначенных для строительства</w:t>
      </w:r>
      <w:r>
        <w:rPr>
          <w:rStyle w:val="668"/>
          <w:sz w:val="28"/>
          <w:szCs w:val="28"/>
        </w:rPr>
        <w:t xml:space="preserve"> и осуществляется </w:t>
      </w:r>
      <w:r>
        <w:rPr>
          <w:rStyle w:val="668"/>
          <w:sz w:val="28"/>
          <w:szCs w:val="28"/>
        </w:rPr>
        <w:t xml:space="preserve">экспертами</w:t>
      </w:r>
      <w:r>
        <w:rPr>
          <w:rStyle w:val="668"/>
          <w:sz w:val="28"/>
          <w:szCs w:val="28"/>
        </w:rPr>
        <w:t xml:space="preserve"> </w:t>
      </w:r>
      <w:r>
        <w:rPr>
          <w:rStyle w:val="668"/>
          <w:sz w:val="28"/>
          <w:szCs w:val="28"/>
        </w:rPr>
        <w:t xml:space="preserve">аттестованными</w:t>
      </w:r>
      <w:r>
        <w:rPr>
          <w:rStyle w:val="668"/>
          <w:sz w:val="28"/>
          <w:szCs w:val="28"/>
        </w:rPr>
        <w:t xml:space="preserve"> по соответствующим разделам (частям) проектно-сметной документации.</w:t>
      </w:r>
      <w:r>
        <w:rPr>
          <w:sz w:val="28"/>
          <w:szCs w:val="28"/>
        </w:rPr>
        <w:t xml:space="preserve"> За исключением комплексной вневедомственной экспертизы, отнесенной законодательством Республики Казахстан к государственной монополии и проводимой государственной экспертной организацией.</w:t>
      </w:r>
      <w:r>
        <w:rPr>
          <w:sz w:val="28"/>
          <w:szCs w:val="28"/>
        </w:rPr>
      </w:r>
    </w:p>
    <w:p>
      <w:pPr>
        <w:pBdr/>
        <w:tabs>
          <w:tab w:val="left" w:leader="none" w:pos="567"/>
        </w:tabs>
        <w:spacing/>
        <w:ind w:right="-1"/>
        <w:contextualSpacing w:val="tru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составе конкурсной заявки, потенциальный поставщик должен предоставить копию свидетельства об аккредитации на право осуществления комплексной вне</w:t>
      </w:r>
      <w:r>
        <w:rPr>
          <w:sz w:val="28"/>
          <w:szCs w:val="28"/>
        </w:rPr>
        <w:t xml:space="preserve">ведомственной экспертизы проектов, предназначенных для строительства, за исключением комплексной вневедомственной экспертизы, отнесенной законодательством Республики Казахстан к государственной монополии и проводимой государственной экспертной организации.</w:t>
      </w:r>
      <w:r>
        <w:rPr>
          <w:sz w:val="28"/>
          <w:szCs w:val="28"/>
        </w:rPr>
      </w:r>
    </w:p>
    <w:p>
      <w:pPr>
        <w:pBdr/>
        <w:tabs>
          <w:tab w:val="left" w:leader="none" w:pos="567"/>
        </w:tabs>
        <w:spacing/>
        <w:ind w:right="-1"/>
        <w:contextualSpacing w:val="tru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составе конкурсной заявки (Приложение №2) приложена проектно-сметная документация для ознакомления.     </w:t>
      </w:r>
      <w:r>
        <w:rPr>
          <w:sz w:val="28"/>
          <w:szCs w:val="28"/>
        </w:rPr>
      </w:r>
    </w:p>
    <w:p>
      <w:pPr>
        <w:pBdr/>
        <w:tabs>
          <w:tab w:val="left" w:leader="none" w:pos="567"/>
        </w:tabs>
        <w:spacing/>
        <w:ind w:right="-1"/>
        <w:contextualSpacing w:val="tru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</w:r>
    </w:p>
    <w:p>
      <w:pPr>
        <w:pStyle w:val="671"/>
        <w:pBdr/>
        <w:tabs>
          <w:tab w:val="left" w:leader="none" w:pos="284"/>
        </w:tabs>
        <w:spacing/>
        <w:ind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>
        <w:rPr>
          <w:b/>
          <w:sz w:val="28"/>
          <w:szCs w:val="28"/>
          <w:lang w:val="kk-KZ"/>
        </w:rPr>
      </w:r>
    </w:p>
    <w:p>
      <w:pPr>
        <w:pStyle w:val="671"/>
        <w:pBdr/>
        <w:tabs>
          <w:tab w:val="left" w:leader="none" w:pos="284"/>
        </w:tabs>
        <w:spacing/>
        <w:ind/>
        <w:rPr>
          <w:sz w:val="28"/>
          <w:szCs w:val="28"/>
        </w:rPr>
      </w:pPr>
      <w:r/>
      <w:bookmarkStart w:id="0" w:name="_GoBack"/>
      <w:r/>
      <w:bookmarkEnd w:id="0"/>
      <w:r>
        <w:rPr>
          <w:b/>
          <w:sz w:val="28"/>
          <w:szCs w:val="28"/>
          <w:lang w:val="kk-KZ"/>
        </w:rPr>
        <w:t xml:space="preserve">Место поставки</w:t>
      </w:r>
      <w:r>
        <w:rPr>
          <w:sz w:val="28"/>
          <w:szCs w:val="28"/>
          <w:lang w:val="kk-KZ"/>
        </w:rPr>
        <w:t xml:space="preserve">:</w:t>
      </w:r>
      <w:r>
        <w:rPr>
          <w:sz w:val="28"/>
          <w:szCs w:val="28"/>
          <w:lang w:val="kk-KZ"/>
        </w:rPr>
        <w:t xml:space="preserve"> г.Астана пр.Абылай хана 30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</w:r>
    </w:p>
    <w:p>
      <w:pPr>
        <w:pBdr/>
        <w:spacing/>
        <w:ind/>
        <w:rPr>
          <w:b/>
          <w:lang w:val="kk-KZ"/>
        </w:rPr>
      </w:pPr>
      <w:r>
        <w:rPr>
          <w:b/>
          <w:lang w:val="kk-KZ"/>
        </w:rPr>
      </w:r>
      <w:r>
        <w:rPr>
          <w:b/>
          <w:lang w:val="kk-KZ"/>
        </w:rPr>
      </w:r>
    </w:p>
    <w:p>
      <w:pPr>
        <w:pBdr/>
        <w:spacing/>
        <w:ind/>
        <w:rPr>
          <w:lang w:val="kk-KZ"/>
        </w:rPr>
      </w:pPr>
      <w:r>
        <w:rPr>
          <w:lang w:val="kk-KZ"/>
        </w:rPr>
      </w:r>
      <w:r>
        <w:rPr>
          <w:lang w:val="kk-KZ"/>
        </w:rPr>
      </w:r>
    </w:p>
    <w:sectPr>
      <w:footnotePr/>
      <w:endnotePr/>
      <w:type w:val="nextPage"/>
      <w:pgSz w:h="16838" w:orient="portrait" w:w="11906"/>
      <w:pgMar w:top="1135" w:right="993" w:bottom="1134" w:left="850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65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65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65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65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65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65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65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65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65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65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65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65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64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66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65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6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66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3">
    <w:name w:val="Strong"/>
    <w:basedOn w:val="665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6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6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65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65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65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65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65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65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6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6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65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65" w:default="1">
    <w:name w:val="Default Paragraph Font"/>
    <w:uiPriority w:val="1"/>
    <w:semiHidden/>
    <w:unhideWhenUsed/>
    <w:pPr>
      <w:pBdr/>
      <w:spacing/>
      <w:ind/>
    </w:pPr>
  </w:style>
  <w:style w:type="table" w:styleId="66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7" w:default="1">
    <w:name w:val="No List"/>
    <w:uiPriority w:val="99"/>
    <w:semiHidden/>
    <w:unhideWhenUsed/>
    <w:pPr>
      <w:pBdr/>
      <w:spacing/>
      <w:ind/>
    </w:pPr>
  </w:style>
  <w:style w:type="character" w:styleId="668" w:customStyle="1">
    <w:name w:val="s0"/>
    <w:pPr>
      <w:pBdr/>
      <w:spacing/>
      <w:ind/>
    </w:pPr>
    <w:rPr>
      <w:rFonts w:hint="default" w:ascii="Times New Roman" w:hAnsi="Times New Roman" w:cs="Times New Roman"/>
      <w:b w:val="0"/>
      <w:bCs w:val="0"/>
      <w:i w:val="0"/>
      <w:iCs w:val="0"/>
      <w:strike w:val="0"/>
      <w:color w:val="000000"/>
      <w:sz w:val="24"/>
      <w:szCs w:val="24"/>
      <w:u w:val="none"/>
    </w:rPr>
  </w:style>
  <w:style w:type="paragraph" w:styleId="669">
    <w:name w:val="No Spacing"/>
    <w:qFormat/>
    <w:pPr>
      <w:pBdr/>
      <w:spacing w:after="0" w:line="240" w:lineRule="auto"/>
      <w:ind/>
    </w:pPr>
    <w:rPr>
      <w:rFonts w:ascii="Calibri" w:hAnsi="Calibri" w:eastAsia="Arial" w:cs="Calibri"/>
      <w:lang w:eastAsia="ar-SA"/>
    </w:rPr>
  </w:style>
  <w:style w:type="paragraph" w:styleId="670" w:customStyle="1">
    <w:name w:val="Заголовок лицевой страницы"/>
    <w:basedOn w:val="664"/>
    <w:uiPriority w:val="99"/>
    <w:pPr>
      <w:pBdr/>
      <w:spacing w:after="60" w:line="360" w:lineRule="auto"/>
      <w:ind/>
      <w:jc w:val="center"/>
    </w:pPr>
    <w:rPr>
      <w:rFonts w:ascii="Tahoma" w:hAnsi="Tahoma"/>
      <w:sz w:val="52"/>
      <w:szCs w:val="20"/>
    </w:rPr>
  </w:style>
  <w:style w:type="paragraph" w:styleId="671" w:customStyle="1">
    <w:name w:val="Style3"/>
    <w:basedOn w:val="664"/>
    <w:uiPriority w:val="99"/>
    <w:pPr>
      <w:widowControl w:val="false"/>
      <w:pBdr/>
      <w:spacing w:line="278" w:lineRule="exact"/>
      <w:ind/>
      <w:jc w:val="both"/>
    </w:pPr>
  </w:style>
  <w:style w:type="character" w:styleId="672">
    <w:name w:val="Emphasis"/>
    <w:uiPriority w:val="20"/>
    <w:qFormat/>
    <w:pPr>
      <w:pBdr/>
      <w:spacing/>
      <w:ind/>
    </w:pPr>
    <w:rPr>
      <w:i/>
      <w:iCs/>
    </w:rPr>
  </w:style>
  <w:style w:type="character" w:styleId="673" w:customStyle="1">
    <w:name w:val="ypks7kbdpwfgdykd3qb9"/>
    <w:basedOn w:val="665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</dc:creator>
  <cp:keywords/>
  <dc:description/>
  <cp:lastModifiedBy>Абылкадыров Даурен Бейбитович</cp:lastModifiedBy>
  <cp:revision>6</cp:revision>
  <dcterms:created xsi:type="dcterms:W3CDTF">2026-03-18T02:46:00Z</dcterms:created>
  <dcterms:modified xsi:type="dcterms:W3CDTF">2026-03-26T05:30:32Z</dcterms:modified>
</cp:coreProperties>
</file>