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ns11="http://schemas.openxmlformats.org/drawingml/2006/chartDrawing" xmlns:c="http://schemas.openxmlformats.org/drawingml/2006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fa66f5" w14:textId="afa66f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целевых групп лиц, подлежащих профилактическим медицинским осмотрам, а также правил и периодичности проведения данных осмотров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здравоохранения Республики Казахстан от 10 ноября 2009 года № 685. Зарегистрирован в Министерстве юстиции Республики Казахстан 26 ноября 2009 года № 5918.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приказа Министра здравоохранения РК от 25.12.2017 </w:t>
      </w:r>
      <w:r>
        <w:rPr>
          <w:rFonts w:ascii="Times New Roman"/>
          <w:b w:val="false"/>
          <w:i w:val="false"/>
          <w:color w:val="ff0000"/>
          <w:sz w:val="28"/>
        </w:rPr>
        <w:t>№ 995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>
      Примечание РЦПИ!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
      Порядок введения в действие приказа см. </w:t>
      </w:r>
      <w:r>
        <w:rPr>
          <w:rFonts w:ascii="Times New Roman"/>
          <w:b w:val="false"/>
          <w:i w:val="false"/>
          <w:color w:val="ff0000"/>
          <w:sz w:val="28"/>
        </w:rPr>
        <w:t>п. 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155 Кодекса Республики Казахстан от 18 сентября 2009 года "О здоровье народа и системе здравоохранения"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приказа Министра здравоохранения РК от 25.12.2017 </w:t>
      </w:r>
      <w:r>
        <w:rPr>
          <w:rFonts w:ascii="Times New Roman"/>
          <w:b w:val="false"/>
          <w:i w:val="false"/>
          <w:color w:val="000000"/>
          <w:sz w:val="28"/>
        </w:rPr>
        <w:t>№ 995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Установить:</w:t>
      </w:r>
    </w:p>
    <w:bookmarkEnd w:id="1"/>
    <w:bookmarkStart w:name="z1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Целевые группы лиц, подлежащие профилактическим медицинским осмотрам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Правила и периодичность проведения профилактических медицинских осмотров целевых групп населения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здравоохранения РК от 25.12.2017 </w:t>
      </w:r>
      <w:r>
        <w:rPr>
          <w:rFonts w:ascii="Times New Roman"/>
          <w:b w:val="false"/>
          <w:i w:val="false"/>
          <w:color w:val="000000"/>
          <w:sz w:val="28"/>
        </w:rPr>
        <w:t>№ 995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стратегии и развития здравоохранения Министерства здравоохранения Республики Казахстан (Айдарханов А.Т.) обеспечить в установленном законодательством Республики Казахстан порядке государственную регистрацию настоящего приказа в Министерстве юстиции Республики Казахстан.</w:t>
      </w:r>
    </w:p>
    <w:bookmarkEnd w:id="3"/>
    <w:bookmarkStart w:name="z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Возложить на республиканские организации здравоохранения проведение методического руководства и анализа профилактических медицинских осмотров отдельных целевых групп населения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4"/>
    <w:bookmarkStart w:name="z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Департаменту административно-правовой работы Министерства здравоохранения Республики Казахстан (Бисмильдин Ф.Б.) после государственной регистрации настоящего приказа обеспечить в установленном законодательством Республики Казахстан порядке его опубликование в средствах массовой информации.</w:t>
      </w:r>
    </w:p>
    <w:bookmarkEnd w:id="5"/>
    <w:bookmarkStart w:name="z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Признать утратившими силу следующие акты: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здравоохранения от 27 декабря 2000 года № 853 "О профилактике заболеваний и динамическом медицинском наблюдении за отдельными категориями больных" (зарегистрированный в Реестре государственной регистрации нормативных правовых актов за № 1372, опубликованный в "Бюллетене нормативных правовых актов центральных исполнительных и иных государственных органов Республики Казахстан", 2001 г., № 15, ст. 366);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7 ноября 2002 года № 999 "О внесении дополнения в приказ Председателя Агентства Республике Казахстан по делам здравоохранения от 27 декабря 2000 года № 853 "О профилактике заболеваний и динамическом медицинском наблюдении за отдельными категориями больных" (зарегистрированный в Реестре государственной регистрации нормативных правовых актов за № 2055, опубликованный в "Бюллетене нормативных правовых актов центральных исполнительных и иных государственных органов Республики Казахстан", 2003 г., № 2, ст. 768).</w:t>
      </w:r>
    </w:p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Контроль за исполнением настоящего приказа возложить на Вице-министра здравоохранения Республики Казахстан Вощенкову Т.А.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937"/>
        <w:gridCol w:w="5363"/>
      </w:tblGrid>
      <w:tr>
        <w:trPr>
          <w:trHeight w:val="30" w:hRule="atLeast"/>
        </w:trPr>
        <w:tc>
          <w:tcPr>
            <w:tcW w:w="69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И.о. Министра</w:t>
            </w:r>
          </w:p>
        </w:tc>
        <w:tc>
          <w:tcPr>
            <w:tcW w:w="536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Садыков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Приложение 1 предусмотрено в редакции приказа Министра здравоохранения РК от 03.10.2019 </w:t>
      </w:r>
      <w:r>
        <w:rPr>
          <w:rFonts w:ascii="Times New Roman"/>
          <w:b w:val="false"/>
          <w:i w:val="false"/>
          <w:color w:val="ff0000"/>
          <w:sz w:val="28"/>
        </w:rPr>
        <w:t>№ ҚР ДСМ-133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2017 года № 995</w:t>
            </w:r>
          </w:p>
        </w:tc>
      </w:tr>
    </w:tbl>
    <w:bookmarkStart w:name="z19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группы лиц, подлежащих профилактическим медицинским осмотрам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1 в соответствии с приказом Министра здравоохранения РК от 25.12.2017 </w:t>
      </w:r>
      <w:r>
        <w:rPr>
          <w:rFonts w:ascii="Times New Roman"/>
          <w:b w:val="false"/>
          <w:i w:val="false"/>
          <w:color w:val="ff0000"/>
          <w:sz w:val="28"/>
        </w:rPr>
        <w:t>№ 995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46"/>
        <w:gridCol w:w="7390"/>
        <w:gridCol w:w="3964"/>
      </w:tblGrid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 п/п
</w:t>
            </w:r>
          </w:p>
        </w:tc>
        <w:tc>
          <w:tcPr>
            <w:tcW w:w="73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Целевая группа
</w:t>
            </w:r>
          </w:p>
        </w:tc>
        <w:tc>
          <w:tcPr>
            <w:tcW w:w="39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Вид профилактического медицинского (скринингового) осмотра
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10"/>
        </w:tc>
        <w:tc>
          <w:tcPr>
            <w:tcW w:w="73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в возрасте до 18 лет</w:t>
            </w:r>
          </w:p>
        </w:tc>
        <w:tc>
          <w:tcPr>
            <w:tcW w:w="39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Профилактические медицинские (скрининговые) осмотры детского населения 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11"/>
        </w:tc>
        <w:tc>
          <w:tcPr>
            <w:tcW w:w="73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 и женщины в возрасте 30-70 лет, проходящие скрининг на раннее выявления артериальной гипертонии, ишемической болезни сердца, сахарного диабета, глаукомы, онкопатологии</w:t>
            </w:r>
          </w:p>
        </w:tc>
        <w:tc>
          <w:tcPr>
            <w:tcW w:w="39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Профилактические медицинские (скрининговые) осмотры на раннее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выявление поведенческих факторов риска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12"/>
        </w:tc>
        <w:tc>
          <w:tcPr>
            <w:tcW w:w="73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 в возрасте 30-70 лет, не состоящие на диспансерном учете по поводу рака шейки матки</w:t>
            </w:r>
          </w:p>
        </w:tc>
        <w:tc>
          <w:tcPr>
            <w:tcW w:w="39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Профилактические медицинские (скрининговые) осмотры на раннее выявление рака шейки матки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  <w:bookmarkEnd w:id="13"/>
        </w:tc>
        <w:tc>
          <w:tcPr>
            <w:tcW w:w="73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 и женщины в возрасте 40-70 лет, не состоящие на диспансерном учете по поводу артериальной гипертонии, ишемической болезни сердца и сахарного диабета</w:t>
            </w:r>
          </w:p>
        </w:tc>
        <w:tc>
          <w:tcPr>
            <w:tcW w:w="39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Профилактические медицинские (скрининговые) осмотры на раннее выявление артериальной гипертонии, ишемической болезни сердца и сахарного диабета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  <w:bookmarkEnd w:id="14"/>
        </w:tc>
        <w:tc>
          <w:tcPr>
            <w:tcW w:w="73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 и женщины в возрасте 40-70 лет, не состоящие на диспансерном учете по поводу глаукомы</w:t>
            </w:r>
          </w:p>
        </w:tc>
        <w:tc>
          <w:tcPr>
            <w:tcW w:w="39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Профилактические медицинские (скрининговые) осмотры на раннее выявление глаукомы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15"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</w:p>
          <w:bookmarkEnd w:id="16"/>
        </w:tc>
        <w:tc>
          <w:tcPr>
            <w:tcW w:w="73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 в возрасте 40-70 лет, не состоящие на диспансерном учете по поводу рака молочной железы.</w:t>
            </w:r>
          </w:p>
        </w:tc>
        <w:tc>
          <w:tcPr>
            <w:tcW w:w="39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Профилактические медицинские (скрининговые) осмотры на раннее выявление рака молочной железы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17"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</w:t>
            </w:r>
          </w:p>
          <w:bookmarkEnd w:id="18"/>
        </w:tc>
        <w:tc>
          <w:tcPr>
            <w:tcW w:w="73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 и женщины в возрасте 50-70 лет, не состоящие на диспансерном учете по поводу полипоза, рака толстой кишки</w:t>
            </w:r>
          </w:p>
        </w:tc>
        <w:tc>
          <w:tcPr>
            <w:tcW w:w="39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Профилактические медицинские (скрининговые) осмотры на раннее выявление колоректального рака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Приложение 2 предусмотрено в редакции приказа Министра здравоохранения РК от 03.10.2019 </w:t>
      </w:r>
      <w:r>
        <w:rPr>
          <w:rFonts w:ascii="Times New Roman"/>
          <w:b w:val="false"/>
          <w:i w:val="false"/>
          <w:color w:val="ff0000"/>
          <w:sz w:val="28"/>
        </w:rPr>
        <w:t>№ ҚР ДСМ-133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исполняющего обязанности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ноября 2009 года № 685</w:t>
            </w:r>
          </w:p>
        </w:tc>
      </w:tr>
    </w:tbl>
    <w:bookmarkStart w:name="z227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 периодичность проведения профилактических медицинских осмотров целевых групп населения 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Министра здравоохранения РК от 25.12.2017 </w:t>
      </w:r>
      <w:r>
        <w:rPr>
          <w:rFonts w:ascii="Times New Roman"/>
          <w:b w:val="false"/>
          <w:i w:val="false"/>
          <w:color w:val="ff0000"/>
          <w:sz w:val="28"/>
        </w:rPr>
        <w:t>№ 995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28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1. Общие положения</w:t>
      </w:r>
    </w:p>
    <w:bookmarkEnd w:id="20"/>
    <w:bookmarkStart w:name="z2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и периодичность проведения профилактических медицинских осмотров целевых групп населения (далее – Правила) определяют порядок и периодичность проведения профилактических медицинских осмотров целевых групп населения.</w:t>
      </w:r>
    </w:p>
    <w:bookmarkEnd w:id="21"/>
    <w:bookmarkStart w:name="z2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Термины и определения, используемые в настоящем приказе:</w:t>
      </w:r>
    </w:p>
    <w:bookmarkEnd w:id="22"/>
    <w:bookmarkStart w:name="z2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Терминологическая система Бетесда – стандартизации результата цитологического исследования;</w:t>
      </w:r>
    </w:p>
    <w:bookmarkEnd w:id="23"/>
    <w:bookmarkStart w:name="z2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динамическое наблюдение – систематическое наблюдение за состоянием здоровья населения, а также оказание необходимой медицинской помощи по результатам данного наблюдения;</w:t>
      </w:r>
    </w:p>
    <w:bookmarkEnd w:id="24"/>
    <w:bookmarkStart w:name="z2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Автоматизированная информационная система "Поликлиника" - информационная система, предназначенная для автоматизированного ввода и обработки "Статистической карты амбулаторного пациента", хранения и получения отчетной документации медицинских организаций, проведения профилактических медицинских (скрининговых) осмотров детского и взрослого населения;</w:t>
      </w:r>
    </w:p>
    <w:bookmarkEnd w:id="25"/>
    <w:bookmarkStart w:name="z2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шкала оценки суммарного сердечно-сосудистого риска– шкала оценки риска смертельного сердечно-сосудистого заболевания ближайших 10 лет (далее – шкала SCORE); </w:t>
      </w:r>
    </w:p>
    <w:bookmarkEnd w:id="26"/>
    <w:bookmarkStart w:name="z2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индекс Кетле – показатель оценки гармоничности физического развития организма, соотношение массы тела к росту;</w:t>
      </w:r>
    </w:p>
    <w:bookmarkEnd w:id="27"/>
    <w:bookmarkStart w:name="z2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классификация системы анализа и протоколирования результатов лучевых исследований молочной железы - стандартизация описаний маммографических исследований (далее - классификация BI-RADS);</w:t>
      </w:r>
    </w:p>
    <w:bookmarkEnd w:id="28"/>
    <w:bookmarkStart w:name="z2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профилактические медицинские осмотры целевых групп населения – это массовые профилактические медицинские осмотры, проводимые сплошным методом, направленные на выявление заболеваний на ранних стадиях и предупреждение развития заболеваний, факторов риска, способствующих возникновению заболеваний, формирование и укрепление здоровья населения (далее – скрининговые осмотры).</w:t>
      </w:r>
    </w:p>
    <w:bookmarkEnd w:id="29"/>
    <w:bookmarkStart w:name="z2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Скрининговые осмотры проводятся в рамках гарантированного объема бесплатной медицинской помощи субъектами здравоохранения, имеющими лицензию на данный вид деятельности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16 мая 2014 года "О разрешениях и уведомлениях".</w:t>
      </w:r>
    </w:p>
    <w:bookmarkEnd w:id="30"/>
    <w:bookmarkStart w:name="z2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Местные органы государственного управления здравоохранением областей, города республиканского значения и столицы (далее – Управление) обеспечивают:</w:t>
      </w:r>
    </w:p>
    <w:bookmarkEnd w:id="31"/>
    <w:bookmarkStart w:name="z2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ежегодное проведение скрининговых осмотров целевых групп населения согласно настоящим Правилам;</w:t>
      </w:r>
    </w:p>
    <w:bookmarkEnd w:id="32"/>
    <w:bookmarkStart w:name="z2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заполнение электронной базы данных скрининговых осмотров;</w:t>
      </w:r>
    </w:p>
    <w:bookmarkEnd w:id="33"/>
    <w:bookmarkStart w:name="z2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создание постоянно действующей рабочей группы по координации, мониторингу и анализу скрининговых осмотров.</w:t>
      </w:r>
    </w:p>
    <w:bookmarkEnd w:id="34"/>
    <w:bookmarkStart w:name="z2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Скрининговые осмотры с последующим динамическим наблюдением и оздоровлением осуществляют организации здравоохранения, оказывающие первичную медико-санитарную помощь (далее – организации ПМСП):</w:t>
      </w:r>
    </w:p>
    <w:bookmarkEnd w:id="35"/>
    <w:bookmarkStart w:name="z2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городского населения – организации ПМСП независимо от форм собственности;</w:t>
      </w:r>
    </w:p>
    <w:bookmarkEnd w:id="36"/>
    <w:bookmarkStart w:name="z2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сельского населения – медицинские пункты, фельдшерско-акушерские пункты, врачебные амбулатории, районные поликлиники, с использованием передвижных медицинских комплексов на базе специального автотранспорта и железнодорожного транспорта (поезд).</w:t>
      </w:r>
    </w:p>
    <w:bookmarkEnd w:id="37"/>
    <w:bookmarkStart w:name="z2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Организации ПМСП:</w:t>
      </w:r>
    </w:p>
    <w:bookmarkEnd w:id="38"/>
    <w:bookmarkStart w:name="z2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формируют целевые группы лиц, подлежащих скрининговым осмотрам, из числа прикрепленного к медицинской организации населения;</w:t>
      </w:r>
    </w:p>
    <w:bookmarkEnd w:id="39"/>
    <w:bookmarkStart w:name="z2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обеспечивают преемственность с профильными медицинскими организациями для проведения данных осмотров;</w:t>
      </w:r>
    </w:p>
    <w:bookmarkEnd w:id="40"/>
    <w:bookmarkStart w:name="z2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информируют население о необходимости прохождения скрининговых осмотров;</w:t>
      </w:r>
    </w:p>
    <w:bookmarkEnd w:id="41"/>
    <w:bookmarkStart w:name="z2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заполняют учетные формы с внесением результатов осмотров в медицинскую карту амбулаторного пациента или историю развития ребенка;</w:t>
      </w:r>
    </w:p>
    <w:bookmarkEnd w:id="42"/>
    <w:bookmarkStart w:name="z2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заполняют электронную базу скрининговых осмотров через медицинские информационные системы организаций здравоохранения, уполномоченного органа в области здравоохранения;</w:t>
      </w:r>
    </w:p>
    <w:bookmarkEnd w:id="43"/>
    <w:bookmarkStart w:name="z2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проводят ежемесячный анализ проведенных скрининговых осмотров.</w:t>
      </w:r>
    </w:p>
    <w:bookmarkEnd w:id="44"/>
    <w:bookmarkStart w:name="z2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Скрининговым осмотрам не подлежат лица, находящиеся на диспансерном учете, по профилю заболевания которого проводится данный скрининговый осмотр.</w:t>
      </w:r>
    </w:p>
    <w:bookmarkEnd w:id="45"/>
    <w:bookmarkStart w:name="z2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Дополнительные диагностические исследования и осмотры профильных специалистов проводятся по показаниям.</w:t>
      </w:r>
    </w:p>
    <w:bookmarkEnd w:id="46"/>
    <w:bookmarkStart w:name="z2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Средний медицинский персонал организации ПМСП или ответственное лицо организации ПМСП по результатам проведенного скринингового осмотра сверяет список пациентов целевой группы, приглашенных на скрининг - обследование, прошедших скрининг и направленных на дообследование.</w:t>
      </w:r>
    </w:p>
    <w:bookmarkEnd w:id="47"/>
    <w:bookmarkStart w:name="z256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2. Порядок проведения скрининговых осмотров целевых групп населения</w:t>
      </w:r>
    </w:p>
    <w:bookmarkEnd w:id="48"/>
    <w:bookmarkStart w:name="z257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Порядок проведения скрининговых осмотров детского населения</w:t>
      </w:r>
    </w:p>
    <w:bookmarkEnd w:id="49"/>
    <w:bookmarkStart w:name="z2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Скрининговые осмотры детей дошкольного возраста, посещающих дошкольные учреждения, школьников, учащихся и студентов средне-специальных и высших учебных заведений до 18 лет проводятся специалистами территориальной организации ПМСП с выездом на территории организаций образования.</w:t>
      </w:r>
    </w:p>
    <w:bookmarkEnd w:id="50"/>
    <w:bookmarkStart w:name="z2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Скрининговые осмотры детей дошкольного возраста, не посещающих дошкольные учреждения проводятся в организации ПМСП по месту прикрепления.</w:t>
      </w:r>
    </w:p>
    <w:bookmarkEnd w:id="51"/>
    <w:bookmarkStart w:name="z2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Проведение скрининговых осмотров детей до 18 лет включает в себя подготовительный этап, скрининг и заключительный этап.</w:t>
      </w:r>
    </w:p>
    <w:bookmarkEnd w:id="52"/>
    <w:bookmarkStart w:name="z2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Подготовительный этап состоит из формирования целевых групп детей до 18 лет и информационного сопровождения. Подготовительный этап осуществляется средним медицинским персоналом организации ПМСП: медицинского пункта, фельдшерско-акушерского пункта, врачебной амбулатории, районной, городской поликлиники, средним медицинским персоналом организации образования (при его наличии), в том числе дошкольного учреждения и включает в себя: </w:t>
      </w:r>
    </w:p>
    <w:bookmarkEnd w:id="53"/>
    <w:bookmarkStart w:name="z2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ежегодное формирование и составление списка целевых групп, подлежащих скрининговым осмотрам в предстоящем году, до 15 ноября календарного года с последующей ежемесячной коррекцией целевых групп;</w:t>
      </w:r>
    </w:p>
    <w:bookmarkEnd w:id="54"/>
    <w:bookmarkStart w:name="z2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оповещение родителей детей целевых групп и их законных представителей о необходимости и условиях прохождения скрининговых осмотров;</w:t>
      </w:r>
    </w:p>
    <w:bookmarkEnd w:id="55"/>
    <w:bookmarkStart w:name="z2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организацию медицинским работником организации образования (при его наличии), в том числе дошкольного учреждения и организации ПМСП выезда специалистов территориальной организации ПМСП на территории организаций образования (при его наличии), в том числе дошкольных учреждений для проведения скринингового осмотра детей дошкольного возраста (посещающие детские дошкольные учреждения), школьников, учащихся и студентов средне-специальных и высших учебных заведений в возрасте до 18 лет;</w:t>
      </w:r>
    </w:p>
    <w:bookmarkEnd w:id="56"/>
    <w:bookmarkStart w:name="z2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Этап скрининга предусматривает осмотр специалистами и заполнение по итогам осмотра статистических карт профилактического медицинского осмотра (скрининга) ребенка по форме № 025-07/у, утвержденной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за № 6697) (далее – Приказ № 907).</w:t>
      </w:r>
    </w:p>
    <w:bookmarkEnd w:id="57"/>
    <w:bookmarkStart w:name="z2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Этап скрининга включает в себя доврачебный, педиатрический и специализированный этапы.</w:t>
      </w:r>
    </w:p>
    <w:bookmarkEnd w:id="58"/>
    <w:bookmarkStart w:name="z2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Доврачебный этап проводится средним медицинским персоналом медицинского пункта, фельдшерско-акушерского пункта, врачебной амбулатории, районной, городской поликлиники, средним медицинским персоналоморганизации образования (при его наличии), в том числе дошкольного учреждения и включает в себя:</w:t>
      </w:r>
    </w:p>
    <w:bookmarkEnd w:id="59"/>
    <w:bookmarkStart w:name="z2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определение роста и массы тела;</w:t>
      </w:r>
    </w:p>
    <w:bookmarkEnd w:id="60"/>
    <w:bookmarkStart w:name="z2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измерение объема головы и грудной клетки у детей раннего возраста (до 3 лет);</w:t>
      </w:r>
    </w:p>
    <w:bookmarkEnd w:id="61"/>
    <w:bookmarkStart w:name="z2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оценку физического и психосоциального развития;</w:t>
      </w:r>
    </w:p>
    <w:bookmarkEnd w:id="62"/>
    <w:bookmarkStart w:name="z2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измерение артериального давления (у детей 7 лет и старше);</w:t>
      </w:r>
    </w:p>
    <w:bookmarkEnd w:id="63"/>
    <w:bookmarkStart w:name="z2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проведение плантографии и ее оценку (у детей 5 лет и старше);</w:t>
      </w:r>
    </w:p>
    <w:bookmarkEnd w:id="64"/>
    <w:bookmarkStart w:name="z2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определение остроты зрения;</w:t>
      </w:r>
    </w:p>
    <w:bookmarkEnd w:id="65"/>
    <w:bookmarkStart w:name="z2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исследование остроты слуха. У детей 3 лет и старше исследование проводится с помощью шепотной речи на оба уха поочередно, в тихом помещении на расстоянии не менее 5 метров между средним медицинским работником и ребенком;</w:t>
      </w:r>
    </w:p>
    <w:bookmarkEnd w:id="66"/>
    <w:bookmarkStart w:name="z2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оформление первичной медицинской документации по данным осмотра.</w:t>
      </w:r>
    </w:p>
    <w:bookmarkEnd w:id="67"/>
    <w:bookmarkStart w:name="z2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Педиатрический этап проводится врачом педиатром или врачом общей практики и включает в себя: оценку состояния здоровья ребенка, психофизического, полового развития, выявление признаков жестокого обращения с учетом данных доврачебного обследования. В ходе этапа проводятся:</w:t>
      </w:r>
    </w:p>
    <w:bookmarkEnd w:id="68"/>
    <w:bookmarkStart w:name="z2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осмотр кожных покровов и волосистой части головы;</w:t>
      </w:r>
    </w:p>
    <w:bookmarkEnd w:id="69"/>
    <w:bookmarkStart w:name="z2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осмотр видимых слизистых оболочек: конъюнктивы глаз, полости рта, зева. Обращается внимание на состояние зубов, прикус, высоту стояния твердого неба, величину и вид небных миндалин, голосовую функцию (звучность голоса);</w:t>
      </w:r>
    </w:p>
    <w:bookmarkEnd w:id="70"/>
    <w:bookmarkStart w:name="z2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осмотр и пальпация области щитовидной железы;</w:t>
      </w:r>
    </w:p>
    <w:bookmarkEnd w:id="71"/>
    <w:bookmarkStart w:name="z2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пальпация периферических лимфоузлов: подчелюстных, паховых, подмышечных;</w:t>
      </w:r>
    </w:p>
    <w:bookmarkEnd w:id="72"/>
    <w:bookmarkStart w:name="z2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исследование органов кровообращения (осмотр, аускультация сердца), определение частоты, наполнения, ритма пульса. При аускультации отмечают звучность и чистоту тонов. В случаях выявления сердечных шумов проводят исследования в различных положениях (стоя, лежа) и функциональные пробы с дозированной физической нагрузкой;</w:t>
      </w:r>
    </w:p>
    <w:bookmarkEnd w:id="73"/>
    <w:bookmarkStart w:name="z2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исследование органов дыхания (аускультация легких);</w:t>
      </w:r>
    </w:p>
    <w:bookmarkEnd w:id="74"/>
    <w:bookmarkStart w:name="z2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исследование органов пищеварения (пальпация органов брюшной полости, области правого подреберья, печени, эпигастральной области, селезенки, правой и левой подвздошной областей, надлобковой области). Обращается внимание на состояние слизистых, обложенность языка, десен, верхнего неба, зубов. Выявляются симптомы хронической интоксикации (бледность кожных покровов, орбитальные тени);</w:t>
      </w:r>
    </w:p>
    <w:bookmarkEnd w:id="75"/>
    <w:bookmarkStart w:name="z2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детям в возрасте от трех до четырех месяцев, по показаниям ультразвуковое исследование тазобедренных суставов с целью раннего выявления дисплазии тазобедренных суставов и врожденного вывиха бедра;</w:t>
      </w:r>
    </w:p>
    <w:bookmarkEnd w:id="76"/>
    <w:bookmarkStart w:name="z2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осмотр половых органов. При осмотре девочек старше 10 лет особое внимание уделяют гинекологическому анамнезу, жалобам, нарушению менструальной функции;</w:t>
      </w:r>
    </w:p>
    <w:bookmarkEnd w:id="77"/>
    <w:bookmarkStart w:name="z2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оценка нервно-психического развития (далее – НПР) с рождения до 17 лет включительно с определением варианта группы развития: 1 – нормальный уровень НПР; 2 – незначительные отклонения в НПР; 3 – выраженные отклонения в НПР.</w:t>
      </w:r>
    </w:p>
    <w:bookmarkEnd w:id="78"/>
    <w:bookmarkStart w:name="z28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 детей до 3 лет оценка НПР проводится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9 сентября 2010 года № 704 "Об утверждении Правил организации скрининга" (зарегистрирован в Реестре государственной регистрации нормативных правовых актов за № 6490).</w:t>
      </w:r>
    </w:p>
    <w:bookmarkEnd w:id="79"/>
    <w:bookmarkStart w:name="z2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4-6 лет оцениваются мышление и речь, моторное развитие, внимание и память, социальные контакты. </w:t>
      </w:r>
    </w:p>
    <w:bookmarkEnd w:id="80"/>
    <w:bookmarkStart w:name="z2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7-8 лет: психомоторная сфера и поведение, интеллектуальное развитие, эмоционально-вегетативная сфера.</w:t>
      </w:r>
    </w:p>
    <w:bookmarkEnd w:id="81"/>
    <w:bookmarkStart w:name="z2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9-10 лет дополнительно оценивается сформированность абстрактно-логических операций, логических суждений.</w:t>
      </w:r>
    </w:p>
    <w:bookmarkEnd w:id="82"/>
    <w:bookmarkStart w:name="z2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11-17 лет определяются: эмоционально-вегетативная сфера, сомато-вегетативные проявления, вегето-диэнцефальные проявления;</w:t>
      </w:r>
    </w:p>
    <w:bookmarkEnd w:id="83"/>
    <w:bookmarkStart w:name="z2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оценка полового развития методом пубертограмм, выдается заключение (норма, опережение, отставание);</w:t>
      </w:r>
    </w:p>
    <w:bookmarkEnd w:id="84"/>
    <w:bookmarkStart w:name="z2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выявление признаков жестокого обращения путем выявления нехарактерных для данного возраста травм и их последствий, признаков побоев (линейные кровоподтеки после ударов палкой или прутом, кровоподтеки в виде петли после ударов ремнем, веревкой, следы связывания, стягивания веревкой или ремнем, следы прижиганий сигаретой, кровоизлияния в сетчатку глаз, субдуральные гематомы). </w:t>
      </w:r>
    </w:p>
    <w:bookmarkEnd w:id="85"/>
    <w:bookmarkStart w:name="z2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Специализированный этап проводится врачами-специалистами и включает в себя осмотр с заполнением учетно-отчетной документации:</w:t>
      </w:r>
    </w:p>
    <w:bookmarkEnd w:id="86"/>
    <w:bookmarkStart w:name="z2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хирург-ортопед у детей раннего возраста обращает внимание на наличие расширения пупочного, паховых колец, грыжевых выпячиваний в области белой линии живота, крипторхизма, выпадения прямой кишки, деформацию конечностей, грудной клетки. У детей дошкольного и школьного возраста определяется наличие деформации позвоночника, нарушений осанки, функций крупных и мелких суставов. Проводится осмотр состояния сводов стоп, оценка плантограммы, оценка походки. У мальчиков определяется опущение яичек;</w:t>
      </w:r>
    </w:p>
    <w:bookmarkEnd w:id="87"/>
    <w:bookmarkStart w:name="z2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уролог исключает патологию мочеполовой системы;</w:t>
      </w:r>
    </w:p>
    <w:bookmarkEnd w:id="88"/>
    <w:bookmarkStart w:name="z2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отоларинголог проводит переднюю риноскопию и проверку дыхательной функции носа, заднюю риноскопию, фарингоскопию, пальпацию шейных лимфоузлов (подчелюстных, передних и задних шейных, заушных), отоскопию, исследование слуха;</w:t>
      </w:r>
    </w:p>
    <w:bookmarkEnd w:id="89"/>
    <w:bookmarkStart w:name="z2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невролог проводит общий осмотр (определение наличия дермографических черт, сосудистого рисунка), исследование состояния черепно-мозговых нервов, двигательных функций; сухожильных, периостальных, кожных рефлексов; оценку вегетативной регуляции;</w:t>
      </w:r>
    </w:p>
    <w:bookmarkEnd w:id="90"/>
    <w:bookmarkStart w:name="z2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стоматолог проводит комплексное обследование ребенка с оценкой состояния прикуса, пародонта, индексов гигиены, интенсивности поражения зубов кариесом (КПУ - сумма кариозных пломбированных и удаленных зубов у одного ребенка), степени активности кариеса, гингивита, (РМА - папиллярно-маргинально-альвеолярный индекс для оценки воспалительного процесса десен), плана диспансеризации, реабилитации и профилактики;</w:t>
      </w:r>
    </w:p>
    <w:bookmarkEnd w:id="91"/>
    <w:bookmarkStart w:name="z3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офтальмолог проводит определение остроты зрения, внешний осмотр органа зрения; осмотр с боковым освещением и в проходящем свете, офтальмоскопию;</w:t>
      </w:r>
    </w:p>
    <w:bookmarkEnd w:id="92"/>
    <w:bookmarkStart w:name="z3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эндокринолог проводит осмотр для исключения гинекомастии, задержки или преждевременного полового развития, задержки роста, ожирения, увеличения щитовидной железы, сахарного диабета, крипторхизма.</w:t>
      </w:r>
    </w:p>
    <w:bookmarkEnd w:id="93"/>
    <w:bookmarkStart w:name="z3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 окончании скринингового осмотра врачом педиатром или врачом общей практики, с учетом заключения профильных специалистов и лабораторно-диагностических исследований, проводится комплексная оценка состояния здоровья детей с определением следующих "групп здоровья":</w:t>
      </w:r>
    </w:p>
    <w:bookmarkEnd w:id="94"/>
    <w:bookmarkStart w:name="z3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группа – здоровые дети;</w:t>
      </w:r>
    </w:p>
    <w:bookmarkEnd w:id="95"/>
    <w:bookmarkStart w:name="z3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группа – здоровые дети, имеющие функциональные отклонения, а также сниженную сопротивляемость к острым и хроническим заболеваниям, с наличием факторов риска;</w:t>
      </w:r>
    </w:p>
    <w:bookmarkEnd w:id="96"/>
    <w:bookmarkStart w:name="z3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группа – дети, больные хроническими заболеваниями в состоянии компенсации, с сохраненными функциональными возможностями организма;</w:t>
      </w:r>
    </w:p>
    <w:bookmarkEnd w:id="97"/>
    <w:bookmarkStart w:name="z30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группа – дети с хроническими заболеваниями в состоянии субкомпенсации, со сниженными функциональными возможностями;</w:t>
      </w:r>
    </w:p>
    <w:bookmarkEnd w:id="98"/>
    <w:bookmarkStart w:name="z3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группа – дети с хроническими заболеваниями в состоянии декомпенсации, со значительно сниженными функциональными возможностями организма.</w:t>
      </w:r>
    </w:p>
    <w:bookmarkEnd w:id="99"/>
    <w:bookmarkStart w:name="z30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Дети, относящиеся к 2, 3, 4, 5 группам здоровья подлежат динамическому наблюдению и оздоровлению у специалистов ПМСП или специалистов соответствующего профиля.</w:t>
      </w:r>
    </w:p>
    <w:bookmarkEnd w:id="100"/>
    <w:bookmarkStart w:name="z30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Заключительный этап – дообследование и постановка на диспансерный учет лиц с выявленной патологией, завершение оформления учетно-отчетной статистической документации.</w:t>
      </w:r>
    </w:p>
    <w:bookmarkEnd w:id="101"/>
    <w:bookmarkStart w:name="z31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 завершении скринингового осмотра проводится комплексная оценка здоровья, оформляются эпикриз и заключение с указанием группы здоровья, оценкой физического и нервно-психического развития. В заключении даются рекомендации по дообследованию, наблюдению, соблюдению санитарно-гигиенических правил, режиму, физическому воспитанию и закаливанию, проведению профилактических прививок, профилактике пограничных состояний и заболеваний, по физкультурной группе (основная или специальная группа).</w:t>
      </w:r>
    </w:p>
    <w:bookmarkEnd w:id="102"/>
    <w:bookmarkStart w:name="z31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На заключительном этапе врач организации ПМСП или ответственное лицо организации ПМСП вносит результаты скринингового осмотра в </w:t>
      </w:r>
      <w:r>
        <w:rPr>
          <w:rFonts w:ascii="Times New Roman"/>
          <w:b w:val="false"/>
          <w:i w:val="false"/>
          <w:color w:val="000000"/>
          <w:sz w:val="28"/>
        </w:rPr>
        <w:t>статистическую карту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профилактического медицинского осмотра (скрининга) ребенка по форме № 025-07/у, утвержденной Приказом № 907, в </w:t>
      </w:r>
      <w:r>
        <w:rPr>
          <w:rFonts w:ascii="Times New Roman"/>
          <w:b w:val="false"/>
          <w:i w:val="false"/>
          <w:color w:val="000000"/>
          <w:sz w:val="28"/>
        </w:rPr>
        <w:t>историю развития ребенка</w:t>
      </w:r>
      <w:r>
        <w:rPr>
          <w:rFonts w:ascii="Times New Roman"/>
          <w:b w:val="false"/>
          <w:i w:val="false"/>
          <w:color w:val="000000"/>
          <w:sz w:val="28"/>
        </w:rPr>
        <w:t xml:space="preserve"> (формы №112/у-д, формы №112/у-м утвержденные Приказом № 907), в </w:t>
      </w:r>
      <w:r>
        <w:rPr>
          <w:rFonts w:ascii="Times New Roman"/>
          <w:b w:val="false"/>
          <w:i w:val="false"/>
          <w:color w:val="000000"/>
          <w:sz w:val="28"/>
        </w:rPr>
        <w:t>паспорт здоровья</w:t>
      </w:r>
      <w:r>
        <w:rPr>
          <w:rFonts w:ascii="Times New Roman"/>
          <w:b w:val="false"/>
          <w:i w:val="false"/>
          <w:color w:val="000000"/>
          <w:sz w:val="28"/>
        </w:rPr>
        <w:t>, а также в Автоматизированную информационную систему "Поликлиника".</w:t>
      </w:r>
    </w:p>
    <w:bookmarkEnd w:id="103"/>
    <w:bookmarkStart w:name="z31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Результаты скринингового осмотра детей (копия эпикриза и заключения) доводятся до сведения родителей или их законных представителей.</w:t>
      </w:r>
    </w:p>
    <w:bookmarkEnd w:id="104"/>
    <w:bookmarkStart w:name="z313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скринингового осмотра взрослого населения</w:t>
      </w:r>
    </w:p>
    <w:bookmarkEnd w:id="105"/>
    <w:bookmarkStart w:name="z31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Проведение скрининговых осмотров целевых групп взрослого населения включает в себя подготовительный этап, скрининг и заключительный этап.</w:t>
      </w:r>
    </w:p>
    <w:bookmarkEnd w:id="106"/>
    <w:bookmarkStart w:name="z31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Подготовительный этап состоит из мероприятий по формированию целевых групп, информационного сопровождения и приглашения на скрининг.</w:t>
      </w:r>
    </w:p>
    <w:bookmarkEnd w:id="107"/>
    <w:bookmarkStart w:name="z31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Подготовительный этап осуществляется средним медицинским персоналом медицинского пункта, фельдшерско-акушерского пункта, районной, городской поликлиники организации ПМСП и включает в себя: </w:t>
      </w:r>
    </w:p>
    <w:bookmarkEnd w:id="108"/>
    <w:bookmarkStart w:name="z31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ежегодное формирование и составление списка целевых групп, подлежащих скрининговым осмотрам в предстоящем году, до 15 ноября календарного года с последующей ежемесячной коррекцией целевых групп;</w:t>
      </w:r>
    </w:p>
    <w:bookmarkEnd w:id="109"/>
    <w:bookmarkStart w:name="z31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оповещение целевых групп взрослого населения о необходимости и условиях прохождения скрининговых осмотров;</w:t>
      </w:r>
    </w:p>
    <w:bookmarkEnd w:id="110"/>
    <w:bookmarkStart w:name="z31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приглашение целевой группы населения на скрининговый осмотр; </w:t>
      </w:r>
    </w:p>
    <w:bookmarkEnd w:id="111"/>
    <w:bookmarkStart w:name="z32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своевременного прохождения скринингового осмотра целевыми группами населения.</w:t>
      </w:r>
    </w:p>
    <w:bookmarkEnd w:id="112"/>
    <w:bookmarkStart w:name="z32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При прохождении скринингового осмотра на ранее выявления рака шейки матки, дополнительно на подготовительном этапе средний медицинский персонал организации ПМСП или ответственное лицо организации ПМСП информирует пациентку о требованиях к прохождению скрининга: исключить половые сношения, влагалищные манипуляции, включая спринцевание, ванночки, тампоны за сутки до осмотра.</w:t>
      </w:r>
    </w:p>
    <w:bookmarkEnd w:id="113"/>
    <w:bookmarkStart w:name="z32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При прохождении скринингового осмотра на ранее выявления колоректального рака, дополнительно на подготовительном этапе средний медицинский персонал организации ПМСП или ответственное лицо организации ПМСП информирует пациентов целевой группы о требованиях к прохождению скрининга: исследование не проводится в период менструации, при наличии кровоточащего геморроя, крови в моче или после значительных усилий при дефекации.</w:t>
      </w:r>
    </w:p>
    <w:bookmarkEnd w:id="114"/>
    <w:bookmarkStart w:name="z32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Этап скрининга скрининговых осмотров включает в себя: проведение осмотра, исследований и заполнение статистических карт профилактического медицинского осмотра (скрининга) амбулаторного пациента по форме № 025-08/у, утвержденной Приказом № 907.</w:t>
      </w:r>
    </w:p>
    <w:bookmarkEnd w:id="115"/>
    <w:bookmarkStart w:name="z32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Скрининг на раннее выявление артериальной гипертонии, ишемической болезни сердца и сахарного диабета состоит из двух этапов:</w:t>
      </w:r>
    </w:p>
    <w:bookmarkEnd w:id="116"/>
    <w:bookmarkStart w:name="z32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первый этап проводится средним медицинским персоналом организации ПМСП или ответственным лицом организации ПМСП, предназначен для всей целевой группы и включает в себя:</w:t>
      </w:r>
    </w:p>
    <w:bookmarkEnd w:id="117"/>
    <w:bookmarkStart w:name="z32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проведение антропометрических измерений (вес, рост, объем талии), вычисление индекса Кетле; </w:t>
      </w:r>
    </w:p>
    <w:bookmarkEnd w:id="118"/>
    <w:bookmarkStart w:name="z32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опроса по скрининг-тесту (пункты 11-24, 31-33, формы № 025-08/у, утвержденной Приказом № 907);</w:t>
      </w:r>
    </w:p>
    <w:bookmarkEnd w:id="119"/>
    <w:bookmarkStart w:name="z32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двукратное измерение артериального давления (далее – АД) с интервалом в 1-2 минуты в положении сидя. Перед измерением АД больной должен посидеть 3-5 минут; </w:t>
      </w:r>
    </w:p>
    <w:bookmarkEnd w:id="120"/>
    <w:bookmarkStart w:name="z32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проведение экспресс-диагностики общего холестерина и глюкозы крови </w:t>
      </w:r>
    </w:p>
    <w:bookmarkEnd w:id="121"/>
    <w:bookmarkStart w:name="z33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(при отсутствии такового оборудования, биоматериал (кровь) пациента направляется в лабораторию).</w:t>
      </w:r>
    </w:p>
    <w:bookmarkEnd w:id="122"/>
    <w:bookmarkStart w:name="z33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втором этапе врач ПМСП или ответственное лицо организации ПМСП использует шкалу SCORE для определения сердечно-сосудистого риска и принятия решения о дальнейшем ведении скринируемого лица:</w:t>
      </w:r>
    </w:p>
    <w:bookmarkEnd w:id="123"/>
    <w:bookmarkStart w:name="z33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низким сердечно-сосудистым риском (до 1% по шкале SCORE) рекомендует проведение последующего скринингового осмотра через 2 года, дает рекомендации по ведению здорового образа жизни с целью сохранения низкого сердечно-сосудистого риска;</w:t>
      </w:r>
    </w:p>
    <w:bookmarkEnd w:id="124"/>
    <w:bookmarkStart w:name="z33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 с умеренным сердечно-сосудистым риском (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&gt;</w:t>
      </w:r>
      <w:r>
        <w:rPr>
          <w:rFonts w:ascii="Times New Roman"/>
          <w:b w:val="false"/>
          <w:i w:val="false"/>
          <w:color w:val="000000"/>
          <w:sz w:val="28"/>
        </w:rPr>
        <w:t xml:space="preserve"> 1% до &lt; 5% по шкале SCORE) направляет в школу по профилью заболевания (далее - школа здоровья) с целью снижения или стабилизации сердечно-сосудистого риска;</w:t>
      </w:r>
    </w:p>
    <w:bookmarkEnd w:id="125"/>
    <w:bookmarkStart w:name="z33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 с высоким и очень высоким сердечно-сосудистым риском (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&gt;</w:t>
      </w:r>
      <w:r>
        <w:rPr>
          <w:rFonts w:ascii="Times New Roman"/>
          <w:b w:val="false"/>
          <w:i w:val="false"/>
          <w:color w:val="000000"/>
          <w:sz w:val="28"/>
        </w:rPr>
        <w:t xml:space="preserve"> 5% по шкале SCORE) направляет на электрокардиографию и, по показаниям, на консультацию кардиолога. При выявлении у пациента болезней системы кровообращения (далее – БСК) ставит на диспансерный учет, при отсутствии БСК направляет в школу здоровья с целью снижения сердечно-сосудистого риска;</w:t>
      </w:r>
    </w:p>
    <w:bookmarkEnd w:id="126"/>
    <w:bookmarkStart w:name="z33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диагностике факторов риска за уровень гиперхолестеринемии принимается уровень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&gt;</w:t>
      </w:r>
      <w:r>
        <w:rPr>
          <w:rFonts w:ascii="Times New Roman"/>
          <w:b w:val="false"/>
          <w:i w:val="false"/>
          <w:color w:val="000000"/>
          <w:sz w:val="28"/>
        </w:rPr>
        <w:t xml:space="preserve"> 5 ммоль/л;</w:t>
      </w:r>
    </w:p>
    <w:bookmarkEnd w:id="127"/>
    <w:bookmarkStart w:name="z33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оценке сердечно-сосудистого риска определяется частота сердечных сокращений обследуемого;</w:t>
      </w:r>
    </w:p>
    <w:bookmarkEnd w:id="128"/>
    <w:bookmarkStart w:name="z33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повышенного уровня глюкозы крови направляет пациента на консультацию участкового терапевта, врача общей практики, эндокринолога.</w:t>
      </w:r>
    </w:p>
    <w:bookmarkEnd w:id="129"/>
    <w:bookmarkStart w:name="z33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Кардиолог, эндокринолог консультативно-диагностического отделения районной, городской поликлиники (далее – КДО) или консультативно-диагностического центра (далее – КДЦ) проводит последующее обследование согласно протоколов диагностики и лечения, по показаниям направляет в специализированные медицинские организации (кардиологический, эндокринологический). </w:t>
      </w:r>
    </w:p>
    <w:bookmarkEnd w:id="130"/>
    <w:bookmarkStart w:name="z33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На этапе скрининга на раннее выявления глаукомы средний медицинский персонал организации ПМСП или ответственное лицо организации ПМСП:</w:t>
      </w:r>
    </w:p>
    <w:bookmarkEnd w:id="131"/>
    <w:bookmarkStart w:name="z34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опрос по скрининг-тесту (пункты 22-28,34,35 формы № 025-08/у, утвержденной Приказом № 907);</w:t>
      </w:r>
    </w:p>
    <w:bookmarkEnd w:id="132"/>
    <w:bookmarkStart w:name="z34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измеряет внутриглазное давление по Маклакову или с использованием бесконтактного тонометра.</w:t>
      </w:r>
    </w:p>
    <w:bookmarkEnd w:id="133"/>
    <w:bookmarkStart w:name="z34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При положительных ответах на скрининг-тест (пункты 23-26 формы </w:t>
      </w:r>
    </w:p>
    <w:bookmarkEnd w:id="134"/>
    <w:bookmarkStart w:name="z34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№ 025-08/у, утвержденной Приказом № 907), и (или) повышенном внутриглазном давлении (свыше 25 мм ртутного столба при тонометрии по Маклакову и свыше 20 мм ртутного столба при бесконтактной тонометрии), а также при разнице в показателях внутриглазного давления на правом и левом глазу более 5 мм ртутного столба направляет пациента к офтальмологу КДО, </w:t>
      </w:r>
    </w:p>
    <w:bookmarkEnd w:id="135"/>
    <w:bookmarkStart w:name="z34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КДЦ.</w:t>
      </w:r>
    </w:p>
    <w:bookmarkEnd w:id="136"/>
    <w:bookmarkStart w:name="z34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Офтальмолог КДО, КДЦ проводит дообследование, по показаниям направляет в глаукомный кабинет.</w:t>
      </w:r>
    </w:p>
    <w:bookmarkEnd w:id="137"/>
    <w:bookmarkStart w:name="z34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На этапе скрининга на раннее выявление поведенческих факторов риска (избыточная масса тела, ожирение, физическая активность, курение, потребление алкоголя в опасных дозах) исследуются все лица, прошедшие скрининг на раннее выявление артериальной гипертонии, ишемической болезни сердца и сахарного диабета, глаукомы, онкопатологии.</w:t>
      </w:r>
    </w:p>
    <w:bookmarkEnd w:id="138"/>
    <w:bookmarkStart w:name="z34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Выявление факторов риска проводится средним медицинским персоналом организации ПМСП или ответственным лицом организации ПМСП и включает в себя проведение опроса по скрининг-тесту (пункты 11-28, 31-35, формы № 025-08/у, утвержденной Приказом № 907).</w:t>
      </w:r>
    </w:p>
    <w:bookmarkEnd w:id="139"/>
    <w:bookmarkStart w:name="z34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Врач (средний медицинский персонал) организации ПМСП или ответственное лицо организации ПМСП:</w:t>
      </w:r>
    </w:p>
    <w:bookmarkEnd w:id="140"/>
    <w:bookmarkStart w:name="z34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проводит профилактическую консультацию и предоставляет подробные рекомендации по изменению поведения; </w:t>
      </w:r>
    </w:p>
    <w:bookmarkEnd w:id="141"/>
    <w:bookmarkStart w:name="z35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направляет в профильную школу здоровья. </w:t>
      </w:r>
    </w:p>
    <w:bookmarkEnd w:id="142"/>
    <w:bookmarkStart w:name="z35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35. Этап скрининга на раннее выявление рака шейки матки включает: </w:t>
      </w:r>
    </w:p>
    <w:bookmarkEnd w:id="143"/>
    <w:bookmarkStart w:name="z35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цитологическое исследование мазка из шейки матки с окраской по Папаниколау (Рар-тест), которое проводится традиционным методом или с использованием метода жидкостной цитологии с интерпретацией по Терминологической системе Бетесда, 2001 (далее – ТСБ);</w:t>
      </w:r>
    </w:p>
    <w:bookmarkEnd w:id="144"/>
    <w:bookmarkStart w:name="z35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углубленную диагностику (кольпоскопию, биопсию, гистологическое исследование) при цитологических заключениях по ТСБ: атипичные клетки плоского эпителия, не позволяющие исключить высокую степень плоскоклеточного интраэпителиального поражения (далее - ASC-H), высокая степень плоскоклеточного интраэпителиального поражения (далее – HSIL), атипические железистые клетки (далее – AGС), аденокарцинома in situ (далее – AIS), рак.</w:t>
      </w:r>
    </w:p>
    <w:bookmarkEnd w:id="145"/>
    <w:bookmarkStart w:name="z35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36. Забор материала на цитологическое исследование осуществляется в смотровом кабинете организации ПМСП. </w:t>
      </w:r>
    </w:p>
    <w:bookmarkEnd w:id="146"/>
    <w:bookmarkStart w:name="z35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Средний медицинский персонал организации ПМСП или ответственное лицо организации ПМСП:</w:t>
      </w:r>
    </w:p>
    <w:bookmarkEnd w:id="147"/>
    <w:bookmarkStart w:name="z35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заполняет журнал учета пациентов, подлежащих цитологическому скринингу, вносит данные в форму № 025-08/у, утвержденную Приказом № 907;</w:t>
      </w:r>
    </w:p>
    <w:bookmarkEnd w:id="148"/>
    <w:bookmarkStart w:name="z35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направляет в смотровой кабинет организации ПМСП.</w:t>
      </w:r>
    </w:p>
    <w:bookmarkEnd w:id="149"/>
    <w:bookmarkStart w:name="z35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Акушер смотрового кабинета организации ПМСП:</w:t>
      </w:r>
    </w:p>
    <w:bookmarkEnd w:id="150"/>
    <w:bookmarkStart w:name="z35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осматривает шейку матки в зеркалах;</w:t>
      </w:r>
    </w:p>
    <w:bookmarkEnd w:id="151"/>
    <w:bookmarkStart w:name="z36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осуществляет взятие мазков на цитологическое исследование (Рар-тест) традиционным методом (одно стекло) или методом жидкостной цитологии (один контейнер); </w:t>
      </w:r>
    </w:p>
    <w:bookmarkEnd w:id="152"/>
    <w:bookmarkStart w:name="z36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заполняет направление на цитологическое исследование и направляет биоматериал в цитологическую лабораторию;</w:t>
      </w:r>
    </w:p>
    <w:bookmarkEnd w:id="153"/>
    <w:bookmarkStart w:name="z362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контроль за получением результатов Рар-теста из цитологической лаборатории.</w:t>
      </w:r>
    </w:p>
    <w:bookmarkEnd w:id="154"/>
    <w:bookmarkStart w:name="z36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получения результатов и информирования пациентов о результатах скрининга не должен превышать двух недель.</w:t>
      </w:r>
    </w:p>
    <w:bookmarkEnd w:id="155"/>
    <w:bookmarkStart w:name="z36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Цитологическое исследование проводится в цитологической лаборатории с пропускной способностью не менее 15000 скрининговых исследований ежегодно, специалисты которой (врач-цитолог, цитотехник) регулярно проходят специальную подготовку (обучение на кафедре постдипломной подготовки по онкоцитологии).</w:t>
      </w:r>
    </w:p>
    <w:bookmarkEnd w:id="156"/>
    <w:bookmarkStart w:name="z36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Регистратор цитологической лаборатории, цитотехник: </w:t>
      </w:r>
    </w:p>
    <w:bookmarkEnd w:id="157"/>
    <w:bookmarkStart w:name="z36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регистрирует поступившие стекла, контейнеры в журнале цитологических исследований, проводимых по скринингу;</w:t>
      </w:r>
    </w:p>
    <w:bookmarkEnd w:id="158"/>
    <w:bookmarkStart w:name="z36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направляет результаты цитологического исследования в организацию ПМСП.</w:t>
      </w:r>
    </w:p>
    <w:bookmarkEnd w:id="159"/>
    <w:bookmarkStart w:name="z36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Углубленная диагностика (кольпоскопия, биопсия) проводится по показаниям при цитологическом заключении ASC-H, HSIL, AGС, AIS, рак онкогинекологом онкологического центра или онкологического отделения в структуре многопрофильной больницы (далее - ОЦ) или гинекологом районной, городской поликлиники, прошедшим специальную подготовку (обучение).</w:t>
      </w:r>
    </w:p>
    <w:bookmarkEnd w:id="160"/>
    <w:bookmarkStart w:name="z369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Наличие эрозии без подтверждающего цитологического результата не является показанием для кольпоскопии во время скрининга. </w:t>
      </w:r>
    </w:p>
    <w:bookmarkEnd w:id="161"/>
    <w:bookmarkStart w:name="z37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Гистологическое исследование проводится в лаборатории патоморфологии или патологоанатомического бюро. Морфологическая интерпретация биоптата осуществляется с рекомендациями Всемирной организации здравоохранения.</w:t>
      </w:r>
    </w:p>
    <w:bookmarkEnd w:id="162"/>
    <w:bookmarkStart w:name="z37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Врач организации ПМСП или ответственное лицо организации ПМСП при получении результатов Рар-теста по ТСБ:</w:t>
      </w:r>
    </w:p>
    <w:bookmarkEnd w:id="163"/>
    <w:bookmarkStart w:name="z37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плохое качество мазка приглашает пациентку на цитологический скрининг повторно;</w:t>
      </w:r>
    </w:p>
    <w:bookmarkEnd w:id="164"/>
    <w:bookmarkStart w:name="z373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"Цитограмма без особенностей" (норма) рекомендует пациентке проведение последующего цитологического скрининга через 4 года;</w:t>
      </w:r>
    </w:p>
    <w:bookmarkEnd w:id="165"/>
    <w:bookmarkStart w:name="z374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"Воспалительный процесс или микроорганизмы" рекомендует лечение и санацию у врача гинеколога;</w:t>
      </w:r>
    </w:p>
    <w:bookmarkEnd w:id="166"/>
    <w:bookmarkStart w:name="z375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"Атипия эпителиальных клеток неопределенного значения" (далее - ASC-US), "низкая степень плоскоклеточного интраэпителиального поражения" (далее - LSIL) рекомендует лечение и динамическое наблюдение у врача-гинеколога районной, городской поликлиники с проведением цитологического контроля через 6 месяцев. При персистенции или утяжелении рекомендуется проведение кольпоскопии с биопсией, при нормальной цитограмме через 6 месяцев – дополнительный Рар-тест через 12 месяцев;</w:t>
      </w:r>
    </w:p>
    <w:bookmarkEnd w:id="167"/>
    <w:bookmarkStart w:name="z376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"высокая степень плоскоклеточного интраэпителиального поражения" (далее – HSIL), "атипичные клетки плоского эпителия, не позволяющие исключить HSIL" (далее - АSC-H), "атипические железистые клетки" (далее – AGС), "аденокарцинома ин ситу канала шейки матки" (далее – AIS), рак направляет пациентку на углубленную диагностику к онкогинекологу ОЦ или гинекологу районной, городской поликлиники, прошедшему специальную подготовку.</w:t>
      </w:r>
    </w:p>
    <w:bookmarkEnd w:id="168"/>
    <w:bookmarkStart w:name="z377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При получении гистологических результатов биопсии шейки матки:</w:t>
      </w:r>
    </w:p>
    <w:bookmarkEnd w:id="169"/>
    <w:bookmarkStart w:name="z378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цервикальной интраэпителиальной неоплазии первой степени (далее – CIN 1) рекомендует пациентке дообследование, лечение и динамическое наблюдение у гинеколога районной, городской поликлиники с проведением цитологического контроля через 6 и 12 месяцев;</w:t>
      </w:r>
    </w:p>
    <w:bookmarkEnd w:id="170"/>
    <w:bookmarkStart w:name="z379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цервикальной интраэпителиальной неоплазии второй степени(далее – CIN 2),цервикальной интраэпителиальной неоплазиитретьей степени (далее – CIN3), карцинома ин ситу (далее - CIS), направляет пациентку в ОЦ для лечения и динамического наблюдения; </w:t>
      </w:r>
    </w:p>
    <w:bookmarkEnd w:id="171"/>
    <w:bookmarkStart w:name="z380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все пациентки после лечения CIN 2, CIN 3, CIS, AIS наблюдаются у гинеколога районной, городской поликлиники с проведением контрольных Рар-тестов через 4, 6 и 12 месяцев. По показаниям (положительный Рар-тест в контроле) проводится консультация онкогинеколога ОЦ. </w:t>
      </w:r>
    </w:p>
    <w:bookmarkEnd w:id="172"/>
    <w:bookmarkStart w:name="z381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43. Бланк результата цитологического исследования вклеивается в медицинскую карту амбулаторного больного. </w:t>
      </w:r>
    </w:p>
    <w:bookmarkEnd w:id="173"/>
    <w:bookmarkStart w:name="z382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Этап скрининга на раннее выявление рака молочной железы включает:</w:t>
      </w:r>
    </w:p>
    <w:bookmarkEnd w:id="174"/>
    <w:bookmarkStart w:name="z383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маммографии обеих молочных желез в двух проекциях – прямой и косой в кабинете маммографии городской, районной поликлиники (передвижного медицинского комплекса). Все цифровые маммограммы распечатываются на рентгенографической пленке в масштабе 1:1 – 100% (1 пациентка – 1 комплект – 2 или 4 маммограммы) и копируются на цифровой носитель CD, DVD, при наличии системы архивирования и передачи медицинских изображений передаются на сервер кабинета маммографии ОЦ;</w:t>
      </w:r>
    </w:p>
    <w:bookmarkEnd w:id="175"/>
    <w:bookmarkStart w:name="z384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интерпретацию маммограмм по классификации BI-RADS (М0, М1, М2, М3, М4, М5) двумя и более независимыми врачами-рентгенологами одной медицинской организации (ОЦ) – двойная читка, или разными медицинскими организациями: врачом-рентгенологом кабинета маммографии городской, районной поликлиники (передвижного медицинского комплекса) – первая читка, и врачом-рентгенологом кабинета маммографии ОЦ – вторая читка;</w:t>
      </w:r>
    </w:p>
    <w:bookmarkEnd w:id="176"/>
    <w:bookmarkStart w:name="z385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углубленную диагностику – прицельная маммография, ультразвуковое исследование (далее – УЗИ) молочных желез, пункционная биопсия или стереотаксическая пункция для гистологического исследования, которая проводится в случае выявления патологических изменений на маммограммах (М4, М5 по классификации BI-RADS) в кабинете маммографии ОЦ. </w:t>
      </w:r>
    </w:p>
    <w:bookmarkEnd w:id="177"/>
    <w:bookmarkStart w:name="z386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Средний медицинский персонал организации ПМСП или ответственное лицо организации ПМСП направляет пациентку на маммографию в районную, городскую поликлиники.</w:t>
      </w:r>
    </w:p>
    <w:bookmarkEnd w:id="178"/>
    <w:bookmarkStart w:name="z387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46. Рентгенлаборант кабинета маммографии городской, районной поликлиники (передвижного медицинского комплекса): </w:t>
      </w:r>
    </w:p>
    <w:bookmarkEnd w:id="179"/>
    <w:bookmarkStart w:name="z388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Заполняет направление на двойную читку маммограмм, журнал учета пациентов, подлежащих маммографическому скринингу, утвержденные Приказом № 907;</w:t>
      </w:r>
    </w:p>
    <w:bookmarkEnd w:id="180"/>
    <w:bookmarkStart w:name="z389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проведении первой читки – вносит результаты первой читки в форму № 025-08/у, утвержденную Приказом № 907 и в направление маммограмм на двойную (вторую) читку; </w:t>
      </w:r>
    </w:p>
    <w:bookmarkEnd w:id="181"/>
    <w:bookmarkStart w:name="z390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результатов двойной (второй) читки – вносит результаты двойной (второй) читки в форму № 025-08/у, утвержденную Приказом № 907 и в журнал учета пациентов, подлежащих маммографическому скринингу.</w:t>
      </w:r>
    </w:p>
    <w:bookmarkEnd w:id="182"/>
    <w:bookmarkStart w:name="z391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Врач-рентгенолог кабинета маммографии городской, районной поликлиники (передвижного медицинского комплекса):</w:t>
      </w:r>
    </w:p>
    <w:bookmarkEnd w:id="183"/>
    <w:bookmarkStart w:name="z392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выполняет требования к безопасности и качеству маммографических исследований;</w:t>
      </w:r>
    </w:p>
    <w:bookmarkEnd w:id="184"/>
    <w:bookmarkStart w:name="z393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оценивает качество предоставленных изображений и правильность укладки; </w:t>
      </w:r>
    </w:p>
    <w:bookmarkEnd w:id="185"/>
    <w:bookmarkStart w:name="z394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проводит первую читку маммограмм с интерпретацией результатов по классификации BI-RADS; </w:t>
      </w:r>
    </w:p>
    <w:bookmarkEnd w:id="186"/>
    <w:bookmarkStart w:name="z395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направляет маммограммы, электронные копии скрининговых маммограмм посредством системы архивирования и передачи медицинских изображений на сервер кабинета маммографии ОЦ вместе с направлениями на двойную читку маммограмм.</w:t>
      </w:r>
    </w:p>
    <w:bookmarkEnd w:id="187"/>
    <w:bookmarkStart w:name="z396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Врач-рентгенолог кабинета маммографии ОЦ: </w:t>
      </w:r>
    </w:p>
    <w:bookmarkEnd w:id="188"/>
    <w:bookmarkStart w:name="z397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оценивает качество предоставленных изображений и правильность укладки; </w:t>
      </w:r>
    </w:p>
    <w:bookmarkEnd w:id="189"/>
    <w:bookmarkStart w:name="z398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проводит двойную (вторую) читку маммограмм с интерпретацией результатов по классификации BI-RADS. По показаниям организует третью читку; </w:t>
      </w:r>
    </w:p>
    <w:bookmarkEnd w:id="190"/>
    <w:bookmarkStart w:name="z399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направляет результаты двойной (второй) читки (отрывную часть направления) в организацию ПМСП; </w:t>
      </w:r>
    </w:p>
    <w:bookmarkEnd w:id="191"/>
    <w:bookmarkStart w:name="z400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рекомендует организации ПМСП по показаниям пригласить пациентку на углубленную диагностику (прицельную маммографию, УЗИ молочных желез, пункционную биопсию или стереотаксическую пункцию с последующим гистологическим исследованием материала);</w:t>
      </w:r>
    </w:p>
    <w:bookmarkEnd w:id="192"/>
    <w:bookmarkStart w:name="z401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сбор и архивирование всех маммограмм (пленки и электронные носители), сделанных в рамках скрининга. Срок хранения маммограмм – не менее 3 лет после выхода из скринингового возраста. Маммограммы, сделанные во время скрининга, пациентке не выдаются.</w:t>
      </w:r>
    </w:p>
    <w:bookmarkEnd w:id="193"/>
    <w:bookmarkStart w:name="z402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49. Показаниями для углубленной диагностики являются заключения двойной читки маммограмм М4 (признаки, вызывающие подозрение на злокачественность), М5 (практически достоверные признаки злокачественности). </w:t>
      </w:r>
    </w:p>
    <w:bookmarkEnd w:id="194"/>
    <w:bookmarkStart w:name="z403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Врач организации ПМСП или ответственное лицо организации ПМСП при получении результата маммографии по классификации BI-RADS:</w:t>
      </w:r>
    </w:p>
    <w:bookmarkEnd w:id="195"/>
    <w:bookmarkStart w:name="z404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М0 (необходимы дополнительные изображения либо данные предыдущего исследования) – направляет пациентку на повторное рентгенологическое исследование в кабинет маммографии городской, районной поликлиники (передвижного медицинского комплекса) либо выполняет рекомендации врача-рентгенолога кабинета маммографии ОЦ по результатам сопоставления с архивированными снимками (при их наличии); </w:t>
      </w:r>
    </w:p>
    <w:bookmarkEnd w:id="196"/>
    <w:bookmarkStart w:name="z405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М1 (изменений не выявлено) – рекомендует пациентке проведение последующего скринингового маммографического обследования через 2 года;</w:t>
      </w:r>
    </w:p>
    <w:bookmarkEnd w:id="197"/>
    <w:bookmarkStart w:name="z406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М2 (доброкачественные изменения) направляет пациентку на консультацию к онкологу (маммологу) КДО, КДЦ с последующим прохождением скринингового маммографического обследования через 2 года;</w:t>
      </w:r>
    </w:p>
    <w:bookmarkEnd w:id="198"/>
    <w:bookmarkStart w:name="z407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М3 (вероятные доброкачественные изменения) – направляет пациентку на краткосрочное динамическое наблюдение к участковому врачу или врачу общей практики с рекомендацией контрольной маммографии через 6 месяцев;</w:t>
      </w:r>
    </w:p>
    <w:bookmarkEnd w:id="199"/>
    <w:bookmarkStart w:name="z408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М4 (признаки, вызывающие подозрение на злокачественность), М5 (практически достоверные признаки злокачественности) – в соответствии с результатами углубленной диагностики направляет пациентку на консультацию и динамическое наблюдение к онкологу, маммологу ОЦ. В случае исключения злокачественного новообразования пациентка с указанными результатами маммографии направляется на консультацию к онкологу (маммологу) КДО, КДЦ с последующим динамическим наблюдением и оздоровлением у специалистов ПМСП по месту ее прикрепления;</w:t>
      </w:r>
    </w:p>
    <w:bookmarkEnd w:id="200"/>
    <w:bookmarkStart w:name="z409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вклеивает отрывную часть направления маммограмм на двойную (вторую) читку с результатами и заключением врача-рентгенолога кабинета маммографии ОЦ в медицинскую карту амбулаторного пациента.</w:t>
      </w:r>
    </w:p>
    <w:bookmarkEnd w:id="201"/>
    <w:bookmarkStart w:name="z410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Этап скрининга на раннее выявление колоректального рака включает в себя:</w:t>
      </w:r>
    </w:p>
    <w:bookmarkEnd w:id="202"/>
    <w:bookmarkStart w:name="z411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гемокульт-теста, основанный на иммунохимическом или иммунохроматографическом методе, который проводится в домашних условиях после получения теста и разъяснения правил проведения исследования;</w:t>
      </w:r>
    </w:p>
    <w:bookmarkEnd w:id="203"/>
    <w:bookmarkStart w:name="z412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тотальную колоноскопию при положительном гемокульт-тесте с биопсией патологических участков слизистой кишечника, которая проводится в случае их выявления. Тотальная колоноскопия проводится в отделениях (кабинетах) колоноскопии, оснащенных видеоэндоскопическим оборудованием с поддержкой узкоспектральной эндоскопии, возможностью видеофиксации исследований, хирургическим инструментарием для взятия биопсии и проведения малоинвазивных хирургических вмешательств (удаление полипов на тонкой ножке), аппаратом автоматической обработки эндоскопического оборудования предпочтительно со встроенной функцией печати времени обработки эндоскопа.</w:t>
      </w:r>
    </w:p>
    <w:bookmarkEnd w:id="204"/>
    <w:bookmarkStart w:name="z413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Средний медицинский персонал ПМСП для проведения гемокульт-теста разъясняет, что для исследования используется небольшая часть стула, помещенного в чистой, сухой емкости; забор материала проводится с использованием наконечника контейнера путем введения в разные места стула; после забора материала крышка закручивается, контейнер несколько раз встряхивается; 3 капли раствора со взвешенными частицами кала наносятся в специальное окошко тест-карты; интерпретация теста проводится через 3-10 минут (или как указано производителем теста). По показаниям тест проводится в условиях организации ПМСП.</w:t>
      </w:r>
    </w:p>
    <w:bookmarkEnd w:id="205"/>
    <w:bookmarkStart w:name="z414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Оценка результата теста проводится самим пациентом, если тест проводится в домашних условиях, либо медицинским работником в поликлинике:</w:t>
      </w:r>
    </w:p>
    <w:bookmarkEnd w:id="206"/>
    <w:bookmarkStart w:name="z415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появление двух полосок на уровне Т (тест) и С (контроль) расценивается как положительный результат (наличие крови в кале);</w:t>
      </w:r>
    </w:p>
    <w:bookmarkEnd w:id="207"/>
    <w:bookmarkStart w:name="z416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появление одной полоски на уровне С (контроль) расценивается как отрицательный результат (отсутствие крови в кале);</w:t>
      </w:r>
    </w:p>
    <w:bookmarkEnd w:id="208"/>
    <w:bookmarkStart w:name="z417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появление одной полоски на уровне Т (тест) расценивается как ошибочный результат;</w:t>
      </w:r>
    </w:p>
    <w:bookmarkEnd w:id="209"/>
    <w:bookmarkStart w:name="z418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отсутствие полоски на уровне С (контроль) расценивается как ошибочный результат.</w:t>
      </w:r>
    </w:p>
    <w:bookmarkEnd w:id="210"/>
    <w:bookmarkStart w:name="z419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Если тест проводится в домашних условиях, необходимо попросить пациента или его родственников воспроизвести на бумаге результаты теста с указанием полосок на уровнях Т и С или сфотографировать на камеру, телефон для подтверждения достоверности результата.</w:t>
      </w:r>
    </w:p>
    <w:bookmarkEnd w:id="211"/>
    <w:bookmarkStart w:name="z420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При получении результатов гемокульт-теста средний медицинский персонал организации ПМСП или ответственное лицо организации ПМСП:</w:t>
      </w:r>
    </w:p>
    <w:bookmarkEnd w:id="212"/>
    <w:bookmarkStart w:name="z421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опрос по скрининг-тесту (пункты 29,38,43,44), заполняет форму № 025-08/у, утвержденную Приказом № 907;</w:t>
      </w:r>
    </w:p>
    <w:bookmarkEnd w:id="213"/>
    <w:bookmarkStart w:name="z422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оценивает результат гемокульт-теста (отрицательный, положительный).</w:t>
      </w:r>
    </w:p>
    <w:bookmarkEnd w:id="214"/>
    <w:bookmarkStart w:name="z423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некорректного результата тест следует повторить. </w:t>
      </w:r>
    </w:p>
    <w:bookmarkEnd w:id="215"/>
    <w:bookmarkStart w:name="z424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Положительный результат гемокульт-теста необходимо подтвердить врачом организации ПМСП или ответственным лицом организации ПМСП.</w:t>
      </w:r>
    </w:p>
    <w:bookmarkEnd w:id="216"/>
    <w:bookmarkStart w:name="z425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теста доводятся до пациента и среднего медицинского персонала организации ПМСП или ответственного лица организации ПМСП в течение 3 рабочих дней после дня их получения.</w:t>
      </w:r>
    </w:p>
    <w:bookmarkEnd w:id="217"/>
    <w:bookmarkStart w:name="z426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56. В случае положительного гемокульт-теста пациент направляется на обследование всего отдела толстого кишечника (далее – тотальная колоноскопия). </w:t>
      </w:r>
    </w:p>
    <w:bookmarkEnd w:id="218"/>
    <w:bookmarkStart w:name="z427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Врач организации ПМСП или ответственное лицо организации ПМСП:</w:t>
      </w:r>
    </w:p>
    <w:bookmarkEnd w:id="219"/>
    <w:bookmarkStart w:name="z428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вносит результаты гемокульт-теста в журнал учета пациентов, подлежащих колоректальному скринингу; </w:t>
      </w:r>
    </w:p>
    <w:bookmarkEnd w:id="220"/>
    <w:bookmarkStart w:name="z429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информирует пациента о необходимости проведения исследования, методике исследования, подготовке к колоноскопии;</w:t>
      </w:r>
    </w:p>
    <w:bookmarkEnd w:id="221"/>
    <w:bookmarkStart w:name="z43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направляет на тотальную колоноскопию, которая проводится при положительном гемокульт-тесте. </w:t>
      </w:r>
    </w:p>
    <w:bookmarkEnd w:id="222"/>
    <w:bookmarkStart w:name="z43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Врач отделения эндоскопии:</w:t>
      </w:r>
    </w:p>
    <w:bookmarkEnd w:id="223"/>
    <w:bookmarkStart w:name="z43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проводит биопсию образований слизистой по показаниям. Гистологическое исследование биоптата слизистой толстой кишки производится в патоморфологической лаборатории или патологоанатомическом бюро. Морфологическая интерпретация биоптата осуществляется в соответствии с рекомендациями Всемирной организации здравоохранения; </w:t>
      </w:r>
    </w:p>
    <w:bookmarkEnd w:id="224"/>
    <w:bookmarkStart w:name="z433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одномоментную полипэктомию с клипированием или электрокоагуляцией при выявлении полипов на тонкой ножке при наличии соответствующего инструментария либо "холодную" биопсию при полипах размерами до 0,5 см;</w:t>
      </w:r>
    </w:p>
    <w:bookmarkEnd w:id="225"/>
    <w:bookmarkStart w:name="z434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 результаты (непосредственные после колоноскопии и после получения гистологического заключения) в бланк колоноскопического исследования;</w:t>
      </w:r>
    </w:p>
    <w:bookmarkEnd w:id="226"/>
    <w:bookmarkStart w:name="z435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комплекс санитарно-гигиенических мероприятий по безопасному проведению эндоскопических процедур с целью исключения инфицирования лиц, проходящих эндоскопическое исследование.</w:t>
      </w:r>
    </w:p>
    <w:bookmarkEnd w:id="227"/>
    <w:bookmarkStart w:name="z436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В случае использования одного эндоскопического аппарата интервал между предыдущим и последующим эндоскопическими исследованиями составляет не менее 20 минут с учетом проведения очистки, дезинфекции высокого уровня, промывки и продувки эндоскопа с использованием аппарата автоматической обработки эндоскопического оборудования.</w:t>
      </w:r>
    </w:p>
    <w:bookmarkEnd w:id="228"/>
    <w:bookmarkStart w:name="z437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Медицинская сестра отделения эндоскопии:</w:t>
      </w:r>
    </w:p>
    <w:bookmarkEnd w:id="229"/>
    <w:bookmarkStart w:name="z438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регистрирует проведение исследования в журнале регистрации эндоскопических исследований толстой кишки, выполненных во время скрининга, с указанием даты проведения исследования, фамилии, имени, отчества (при его наличии) пациента, возраста, адреса проживания;</w:t>
      </w:r>
    </w:p>
    <w:bookmarkEnd w:id="230"/>
    <w:bookmarkStart w:name="z439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маркирует, регистрирует и направляет взятый биопсийный материал в патоморфологическую лабораторию или патологоанатомическое бюро в соответствии с установленными правилами с указанием на сопроводительном бланке отметки "Материал взят по скринингу";</w:t>
      </w:r>
    </w:p>
    <w:bookmarkEnd w:id="231"/>
    <w:bookmarkStart w:name="z440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направляет результаты эндоскопического исследования в организацию ПМСП.</w:t>
      </w:r>
    </w:p>
    <w:bookmarkEnd w:id="232"/>
    <w:bookmarkStart w:name="z441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Врач организации ПМСП или ответственное лицо организации ПМСП:</w:t>
      </w:r>
    </w:p>
    <w:bookmarkEnd w:id="233"/>
    <w:bookmarkStart w:name="z442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 получении результатов гемокульт-теста: </w:t>
      </w:r>
    </w:p>
    <w:bookmarkEnd w:id="234"/>
    <w:bookmarkStart w:name="z443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отрицательного (отсутствия скрытой крови в кале) рекомендует проведение скрининга через 2 года;</w:t>
      </w:r>
    </w:p>
    <w:bookmarkEnd w:id="235"/>
    <w:bookmarkStart w:name="z444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положительного (наличие скрытой крови в кале), но при отказе пациента от колоноскопии, подписанного пациентом или его законными представителями и вклеенного в медицинскую карту амбулаторного пациента, или наличии медицинских противопоказаний к проведению эндоскопического исследования, проводит беседу с пациентом, включает в группу риска с контрольным проведением гемокульт-теста, направляет на консультацию к хирургу или колопроктологу КДО, КДЦ.</w:t>
      </w:r>
    </w:p>
    <w:bookmarkEnd w:id="236"/>
    <w:bookmarkStart w:name="z445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получении результатов эндоскопического исследования:</w:t>
      </w:r>
    </w:p>
    <w:bookmarkEnd w:id="237"/>
    <w:bookmarkStart w:name="z446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 патологии (далее – СS 1) обследованным лицам рекомендует проведение гемокульт-теста в рамках скрининга через 2 года;</w:t>
      </w:r>
    </w:p>
    <w:bookmarkEnd w:id="238"/>
    <w:bookmarkStart w:name="z447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наследственные заболевания толстой кишки и аномалии ее развития, хронические воспалительные заболевания кишки (далее – СS 2-3) направляет к гастроэнтерологу или хирургу или колопроктологу КДО, КДЦ;</w:t>
      </w:r>
    </w:p>
    <w:bookmarkEnd w:id="239"/>
    <w:bookmarkStart w:name="z448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полиповидные образования (далее – СS 4) рекомендует лечение (полипэктомия), динамическое наблюдение у онколога, хирурга или колопроктолога КДО, КДЦ с контрольным проведением колоноскопии через 4-6 месяцев после полипэктомии;</w:t>
      </w:r>
    </w:p>
    <w:bookmarkEnd w:id="240"/>
    <w:bookmarkStart w:name="z449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злокачественное новообразование толстой кишки с морфологической верификацией или без (далее – СS 5-8) направляет в ОЦ, с последующим динамическим наблюдением у онколога по месту жительства.</w:t>
      </w:r>
    </w:p>
    <w:bookmarkEnd w:id="241"/>
    <w:bookmarkStart w:name="z450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Заключительный этап скринингового осмотра включает в себя дообследование и постановка на диспансерный учет лиц с выявленной патологией, завершение оформления учетно-отчетной статистической документации. На данном этапе врач организации ПМСП или ответственное лицо организации ПМСП вносит результаты скрининга взрослого населения с выделением факторов риска (поведенческих, биологических), заключительного диагноза в форму № 025-08/у, медицинскую карту амбулаторного пациента, а также в Автоматизированную информационную систему "Поликлиника", дает рекомендации по дообследованию, наблюдению.</w:t>
      </w:r>
    </w:p>
    <w:bookmarkEnd w:id="242"/>
    <w:bookmarkStart w:name="z451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По окончании скринингового осмотра врач организации ПМСП или ответственное лицо организации ПМСП с учетом заключения профильных специалистов и лабораторно-диагностических исследований определяет следующие группы диспансерного наблюдения:</w:t>
      </w:r>
    </w:p>
    <w:bookmarkEnd w:id="243"/>
    <w:bookmarkStart w:name="z452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1А группа – здоровые без факторов риска: лица, не предъявляющие никаких жалоб и у которых в анамнезе и во время осмотра не выявлены хронические заболевания, факторы риска или нарушения функций отдельных органов и систем; </w:t>
      </w:r>
    </w:p>
    <w:bookmarkEnd w:id="244"/>
    <w:bookmarkStart w:name="z453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1Б группа – здоровые с факторами риска: лица с выявленными факторами риска, пограничными состояниями, нуждающиеся в наблюдении и профилактическом вмешательстве (лица, у которых выявлены незначительные отклонения от установленных границ нормы в величинах артериального давления и прочих физиологических характеристик, не влияющие на функциональную деятельность организма); </w:t>
      </w:r>
    </w:p>
    <w:bookmarkEnd w:id="245"/>
    <w:bookmarkStart w:name="z454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2 группа – практически здоровые: лица, имеющие в анамнезе острое и хроническое заболевание без обострений в течение последних 2 лет; </w:t>
      </w:r>
    </w:p>
    <w:bookmarkEnd w:id="246"/>
    <w:bookmarkStart w:name="z455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3 группа– больные: лица, нуждающиеся в динамическом наблюдении, лечении и оздоровлении. </w:t>
      </w:r>
    </w:p>
    <w:bookmarkEnd w:id="247"/>
    <w:bookmarkStart w:name="z456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Здоровые (1А, 1Б группы) и практически здоровые (2 группа) лица взрослого населения проходят:</w:t>
      </w:r>
    </w:p>
    <w:bookmarkEnd w:id="248"/>
    <w:bookmarkStart w:name="z457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последующий скрининговый осмотр в организации ПМСП в соответствии с периодичностью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49"/>
    <w:bookmarkStart w:name="z458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оздоровление в кабинете здорового образа жизни, школе по профилю заболеваний организаций ПМСП и службы здорового образа жизни.</w:t>
      </w:r>
    </w:p>
    <w:bookmarkEnd w:id="250"/>
    <w:bookmarkStart w:name="z459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Выявленные в ходе скрининговых осмотров лица с хроническими заболеваниями и (или) перенесшие отдельные острые заболевания, подлежат диспансерному учету и динамическому наблюдению с последующим оздоровлением и проведением комплекса лечебно-профилактических мероприятий, направленных на восстановление и укрепление здоровья.</w:t>
      </w:r>
    </w:p>
    <w:bookmarkEnd w:id="251"/>
    <w:bookmarkStart w:name="z460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Каждый участник скринингового осмотра информируется о результатах обследования с выдачей соответствующих рекомендаций.</w:t>
      </w:r>
    </w:p>
    <w:bookmarkEnd w:id="252"/>
    <w:bookmarkStart w:name="z461" w:id="2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3. Периодичность проведения скрининговых осмотров целевых групп населения</w:t>
      </w:r>
    </w:p>
    <w:bookmarkEnd w:id="253"/>
    <w:bookmarkStart w:name="z462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67. Скрининговые осмотры целевых групп детского населения осуществляются в соответствии с периодичностью проведения скрининговых осмотров детского населения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54"/>
    <w:bookmarkStart w:name="z463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Дети, находящиеся в организациях здравоохранения для детей-сирот, детей, оставшихся без попечения родителей, от рождения до трех лет, детей с дефектами психического и физического развития от рождения до четырех лет, осуществляющие психолого-педагогическое сопровождение семей с риском отказа от ребенка, детских домах, школах-интернатах, специализированных интернатах, домах юношества проходят скрининговые осмотры дважды в год.</w:t>
      </w:r>
    </w:p>
    <w:bookmarkEnd w:id="255"/>
    <w:bookmarkStart w:name="z464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68. Скрининговые осмотры целевых групп взрослого населения осуществляются в соответствии с периодичностью проведения скрининговых осмотров взрослого населения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периодичности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профилактических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медицинских осмотров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целевых групп населения </w:t>
            </w:r>
          </w:p>
        </w:tc>
      </w:tr>
    </w:tbl>
    <w:bookmarkStart w:name="z466" w:id="2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Периодичность проведения скрининговых осмотров детского населения</w:t>
      </w:r>
    </w:p>
    <w:bookmarkEnd w:id="2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273"/>
        <w:gridCol w:w="1803"/>
        <w:gridCol w:w="875"/>
        <w:gridCol w:w="2463"/>
        <w:gridCol w:w="875"/>
        <w:gridCol w:w="2598"/>
        <w:gridCol w:w="1537"/>
        <w:gridCol w:w="876"/>
      </w:tblGrid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Перечень специалистов
</w:t>
            </w:r>
          </w:p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Педиатр</w:t>
            </w:r>
            <w:r>
              <w:br/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
(врач общей практики)
</w:t>
            </w:r>
          </w:p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Хирург (ортопед)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Оторино-ларинголог
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Невролог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Стоматолог
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Офтальмолог
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Эндокринолог
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Хирург/</w:t>
            </w:r>
            <w:r>
              <w:br/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уролог (юноши)
</w:t>
            </w:r>
          </w:p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"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258"/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8"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1 года – недоношенные дети с массой тела менее 1500 г при рождении</w:t>
            </w:r>
          </w:p>
          <w:bookmarkEnd w:id="259"/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0"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ежемесячно</w:t>
            </w:r>
          </w:p>
          <w:bookmarkEnd w:id="260"/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 3, 6 месяцев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 месяца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 3,6, 12 месяцев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 3, 6, 12 месяцев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и 12 месяцев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9"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1 года (с массой тела при рождении более 1500 г)</w:t>
            </w:r>
          </w:p>
          <w:bookmarkEnd w:id="261"/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1"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ежемесячно</w:t>
            </w:r>
          </w:p>
          <w:bookmarkEnd w:id="262"/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месяц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 месяцев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1месяц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 месяцев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0"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год</w:t>
            </w:r>
          </w:p>
          <w:bookmarkEnd w:id="263"/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2"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раз в 3 месяца</w:t>
            </w:r>
          </w:p>
          <w:bookmarkEnd w:id="264"/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1"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года</w:t>
            </w:r>
          </w:p>
          <w:bookmarkEnd w:id="265"/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3"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раз в 3 месяца</w:t>
            </w:r>
          </w:p>
          <w:bookmarkEnd w:id="266"/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2"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года</w:t>
            </w:r>
          </w:p>
          <w:bookmarkEnd w:id="267"/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4"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раз в год</w:t>
            </w:r>
          </w:p>
          <w:bookmarkEnd w:id="268"/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3"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года</w:t>
            </w:r>
          </w:p>
          <w:bookmarkEnd w:id="269"/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5"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раз в год</w:t>
            </w:r>
          </w:p>
          <w:bookmarkEnd w:id="270"/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4"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лет</w:t>
            </w:r>
          </w:p>
          <w:bookmarkEnd w:id="271"/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6"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раз в год</w:t>
            </w:r>
          </w:p>
          <w:bookmarkEnd w:id="272"/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5"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 лет</w:t>
            </w:r>
          </w:p>
          <w:bookmarkEnd w:id="273"/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7"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раз в год</w:t>
            </w:r>
          </w:p>
          <w:bookmarkEnd w:id="274"/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6"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лет</w:t>
            </w:r>
          </w:p>
          <w:bookmarkEnd w:id="275"/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8"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раз в год</w:t>
            </w:r>
          </w:p>
          <w:bookmarkEnd w:id="276"/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7"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 лет</w:t>
            </w:r>
          </w:p>
          <w:bookmarkEnd w:id="277"/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9"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раз в год</w:t>
            </w:r>
          </w:p>
          <w:bookmarkEnd w:id="278"/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8"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 лет</w:t>
            </w:r>
          </w:p>
          <w:bookmarkEnd w:id="279"/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0"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раз в год</w:t>
            </w:r>
          </w:p>
          <w:bookmarkEnd w:id="280"/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9"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 лет</w:t>
            </w:r>
          </w:p>
          <w:bookmarkEnd w:id="281"/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1"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раз в год</w:t>
            </w:r>
          </w:p>
          <w:bookmarkEnd w:id="282"/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0"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 лет</w:t>
            </w:r>
          </w:p>
          <w:bookmarkEnd w:id="283"/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2"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раз в год</w:t>
            </w:r>
          </w:p>
          <w:bookmarkEnd w:id="284"/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1"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 лет</w:t>
            </w:r>
          </w:p>
          <w:bookmarkEnd w:id="285"/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3"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раз в год</w:t>
            </w:r>
          </w:p>
          <w:bookmarkEnd w:id="286"/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2"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 лет</w:t>
            </w:r>
          </w:p>
          <w:bookmarkEnd w:id="287"/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4"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раз в год</w:t>
            </w:r>
          </w:p>
          <w:bookmarkEnd w:id="288"/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3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 лет</w:t>
            </w:r>
          </w:p>
          <w:bookmarkEnd w:id="289"/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5"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раз в год</w:t>
            </w:r>
          </w:p>
          <w:bookmarkEnd w:id="290"/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4"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 лет</w:t>
            </w:r>
          </w:p>
          <w:bookmarkEnd w:id="291"/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6"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раз в год</w:t>
            </w:r>
          </w:p>
          <w:bookmarkEnd w:id="292"/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5"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 лет</w:t>
            </w:r>
          </w:p>
          <w:bookmarkEnd w:id="293"/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7"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раз в год</w:t>
            </w:r>
          </w:p>
          <w:bookmarkEnd w:id="294"/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6"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 лет</w:t>
            </w:r>
          </w:p>
          <w:bookmarkEnd w:id="295"/>
        </w:tc>
      </w:tr>
      <w:tr>
        <w:trPr>
          <w:trHeight w:val="30" w:hRule="atLeast"/>
        </w:trPr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8"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раз в год</w:t>
            </w:r>
          </w:p>
          <w:bookmarkEnd w:id="296"/>
        </w:tc>
        <w:tc>
          <w:tcPr>
            <w:tcW w:w="1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периодичности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профилактических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медицинских осмотров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целевых групп населения </w:t>
            </w:r>
          </w:p>
        </w:tc>
      </w:tr>
    </w:tbl>
    <w:bookmarkStart w:name="z698" w:id="2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Периодичность проведения скрининговых осмотров взрослого населения</w:t>
      </w:r>
    </w:p>
    <w:bookmarkEnd w:id="2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690"/>
        <w:gridCol w:w="3529"/>
        <w:gridCol w:w="7081"/>
      </w:tblGrid>
      <w:tr>
        <w:trPr>
          <w:trHeight w:val="30" w:hRule="atLeast"/>
        </w:trPr>
        <w:tc>
          <w:tcPr>
            <w:tcW w:w="16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 п/п
</w:t>
            </w:r>
          </w:p>
        </w:tc>
        <w:tc>
          <w:tcPr>
            <w:tcW w:w="35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Периодичность
</w:t>
            </w:r>
          </w:p>
        </w:tc>
        <w:tc>
          <w:tcPr>
            <w:tcW w:w="7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Вид профилактического медицинского (скринингового) осмотра
</w:t>
            </w:r>
          </w:p>
        </w:tc>
      </w:tr>
      <w:tr>
        <w:trPr>
          <w:trHeight w:val="30" w:hRule="atLeast"/>
        </w:trPr>
        <w:tc>
          <w:tcPr>
            <w:tcW w:w="16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3"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298"/>
        </w:tc>
        <w:tc>
          <w:tcPr>
            <w:tcW w:w="35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2 года</w:t>
            </w:r>
          </w:p>
        </w:tc>
        <w:tc>
          <w:tcPr>
            <w:tcW w:w="7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Профилактические медицинские (скрининговые) осмотры на раннее выявление поведенческих факторов риска</w:t>
            </w:r>
          </w:p>
        </w:tc>
      </w:tr>
      <w:tr>
        <w:trPr>
          <w:trHeight w:val="30" w:hRule="atLeast"/>
        </w:trPr>
        <w:tc>
          <w:tcPr>
            <w:tcW w:w="16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7"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299"/>
        </w:tc>
        <w:tc>
          <w:tcPr>
            <w:tcW w:w="35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4 года</w:t>
            </w:r>
          </w:p>
        </w:tc>
        <w:tc>
          <w:tcPr>
            <w:tcW w:w="7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Профилактические медицинские (скрининговые) осмотры на раннее выявление рака шейки матки</w:t>
            </w:r>
          </w:p>
        </w:tc>
      </w:tr>
      <w:tr>
        <w:trPr>
          <w:trHeight w:val="30" w:hRule="atLeast"/>
        </w:trPr>
        <w:tc>
          <w:tcPr>
            <w:tcW w:w="16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1"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300"/>
        </w:tc>
        <w:tc>
          <w:tcPr>
            <w:tcW w:w="35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2 года</w:t>
            </w:r>
          </w:p>
        </w:tc>
        <w:tc>
          <w:tcPr>
            <w:tcW w:w="7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Профилактические медицинские (скрининговые) осмотры на раннее выявление артериальной гипертонии, ишемической болезни сердца и сахарного диабета</w:t>
            </w:r>
          </w:p>
        </w:tc>
      </w:tr>
      <w:tr>
        <w:trPr>
          <w:trHeight w:val="30" w:hRule="atLeast"/>
        </w:trPr>
        <w:tc>
          <w:tcPr>
            <w:tcW w:w="16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5"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  <w:bookmarkEnd w:id="301"/>
        </w:tc>
        <w:tc>
          <w:tcPr>
            <w:tcW w:w="35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2 года</w:t>
            </w:r>
          </w:p>
        </w:tc>
        <w:tc>
          <w:tcPr>
            <w:tcW w:w="7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Профилактические медицинские (скрининговые) осмотры на раннее выявление глаукомы</w:t>
            </w:r>
          </w:p>
        </w:tc>
      </w:tr>
      <w:tr>
        <w:trPr>
          <w:trHeight w:val="30" w:hRule="atLeast"/>
        </w:trPr>
        <w:tc>
          <w:tcPr>
            <w:tcW w:w="16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9"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  <w:bookmarkEnd w:id="302"/>
        </w:tc>
        <w:tc>
          <w:tcPr>
            <w:tcW w:w="35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2 года</w:t>
            </w:r>
          </w:p>
        </w:tc>
        <w:tc>
          <w:tcPr>
            <w:tcW w:w="7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Профилактические медицинские (скрининговые) осмотры на раннее выявление рака молочной железы</w:t>
            </w:r>
          </w:p>
        </w:tc>
      </w:tr>
      <w:tr>
        <w:trPr>
          <w:trHeight w:val="30" w:hRule="atLeast"/>
        </w:trPr>
        <w:tc>
          <w:tcPr>
            <w:tcW w:w="16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3"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</w:p>
          <w:bookmarkEnd w:id="303"/>
        </w:tc>
        <w:tc>
          <w:tcPr>
            <w:tcW w:w="35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2 года</w:t>
            </w:r>
          </w:p>
        </w:tc>
        <w:tc>
          <w:tcPr>
            <w:tcW w:w="7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Профилактические медицинские (скрининговые) осмотры на раннее выявление колоректального рака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и.о. 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ноября 2009 года № 685</w:t>
            </w:r>
          </w:p>
        </w:tc>
      </w:tr>
    </w:tbl>
    <w:bookmarkStart w:name="z148" w:id="3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республиканских организаций здравоохранения,</w:t>
      </w:r>
      <w:r>
        <w:br/>
      </w:r>
      <w:r>
        <w:rPr>
          <w:rFonts w:ascii="Times New Roman"/>
          <w:b/>
          <w:i w:val="false"/>
          <w:color w:val="000000"/>
        </w:rPr>
        <w:t>ответственных за методическое руководство и анализ</w:t>
      </w:r>
      <w:r>
        <w:br/>
      </w:r>
      <w:r>
        <w:rPr>
          <w:rFonts w:ascii="Times New Roman"/>
          <w:b/>
          <w:i w:val="false"/>
          <w:color w:val="000000"/>
        </w:rPr>
        <w:t>скрининговых осмотров целевых групп населения</w:t>
      </w:r>
    </w:p>
    <w:bookmarkEnd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приказа Министра здравоохранения и социального развития РК от 29.12.2014 </w:t>
      </w:r>
      <w:r>
        <w:rPr>
          <w:rFonts w:ascii="Times New Roman"/>
          <w:b w:val="false"/>
          <w:i w:val="false"/>
          <w:color w:val="ff0000"/>
          <w:sz w:val="28"/>
        </w:rPr>
        <w:t>№ 361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07"/>
        <w:gridCol w:w="2386"/>
        <w:gridCol w:w="9207"/>
      </w:tblGrid>
      <w:tr>
        <w:trPr>
          <w:trHeight w:val="30" w:hRule="atLeast"/>
        </w:trPr>
        <w:tc>
          <w:tcPr>
            <w:tcW w:w="7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организации*</w:t>
            </w:r>
          </w:p>
        </w:tc>
        <w:tc>
          <w:tcPr>
            <w:tcW w:w="92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обязанности по внедрению профилактических медицинских (скрининговых) осмотров целевых групп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населения</w:t>
            </w:r>
          </w:p>
        </w:tc>
      </w:tr>
      <w:tr>
        <w:trPr>
          <w:trHeight w:val="30" w:hRule="atLeast"/>
        </w:trPr>
        <w:tc>
          <w:tcPr>
            <w:tcW w:w="7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предприятие на праве хозяйственного ведения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здравоохранения и социального развития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(далее – РГП на ПХВ МЗСР РК)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"Национальный центр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проблем формирования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здорового образа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жизни" (далее –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НЦПФЗОЖ)</w:t>
            </w:r>
          </w:p>
        </w:tc>
        <w:tc>
          <w:tcPr>
            <w:tcW w:w="92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 работы Рабочей группы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научно-методическому обеспечению скрининговых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Разработка и совершенствование нормативно-правовой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базы, учетно-отчетных форм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Разработка модели проведения скрининговых осмотров 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условиях развития ПМСП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Организационно-методическое руководство, координация, мониторинг, оценка, анализ результатов проведения профилактических медицинских (скрининговых) осмотров по выявлению поведенческих факторов риска среди целевых групп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Методическая помощь региональным центрам формирования здорового образа жизни в проведении анализа результатов проведения профилактических медицинских (скрининговых)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осмотров.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Свод и ежеквартальное предоставление аналитических отчетов по проведению профилактических медицинских (скрининговых) осмотров в Министерство здравоохранения и социального развития Республики Казахстан (далее – МЗСР РК) к 20 числу месяца, следующего за отчетным.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Свод и предоставление в МЗСР РК ежегодного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заключительного аналитического отчета по проведению профилактических медицинских (скрининговых) осмотров к 1 февраля следующего за отчетным периодом года.</w:t>
            </w:r>
          </w:p>
        </w:tc>
      </w:tr>
      <w:tr>
        <w:trPr>
          <w:trHeight w:val="30" w:hRule="atLeast"/>
        </w:trPr>
        <w:tc>
          <w:tcPr>
            <w:tcW w:w="7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МЗСР РК "Научно-исследовательский институт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кардиологии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внутренних болезней"</w:t>
            </w:r>
          </w:p>
        </w:tc>
        <w:tc>
          <w:tcPr>
            <w:tcW w:w="92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Рабочей группе по научно-методическому обеспечению скрининговых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Организационно-методическое руководство, координация, мониторинг, оценка, практическая помощь в проведении профилактических медицинских (скрининговых) осмотров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раннему выявлению основных болезней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кровообращения (артериальной гипертонии, ишемической болезни сердца), сахарного диабета среди отдельных целевых групп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Анализ результатов профилактических медицинских (скрининговых) осмотров, предоставление аналитического отчета в НЦПФЗОЖ – ежеквартально к 15 числу месяца, следующего за отчетным.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Предоставление в НЦПФЗОЖ ежегодного заключительного аналитического отчета по проведению профилактических медицинских (скрининговых) осмотров к 20 января следующего за отчетным периодом года.</w:t>
            </w:r>
          </w:p>
        </w:tc>
      </w:tr>
      <w:tr>
        <w:trPr>
          <w:trHeight w:val="30" w:hRule="atLeast"/>
        </w:trPr>
        <w:tc>
          <w:tcPr>
            <w:tcW w:w="7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МЗСР РК "Казахский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научно-исследовательский институт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онкологии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радиологии"</w:t>
            </w:r>
          </w:p>
        </w:tc>
        <w:tc>
          <w:tcPr>
            <w:tcW w:w="92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Рабочей группе по научно-методическому обеспечению скрининговых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"2. Организационно- методическое руководство, координация, мониторинг, оценка, практическая помощь в проведении профилактических медицинских (скрининговых) осмотров по раннему выявлению рака шейки матки, рака молочной железы, колоректального рака, рака пищевода и желудка, гепатоцеллюлярного рака, рака предстательной железы среди целевых групп населения."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Анализ результатов профилактических медицинских (скрининговых) осмотров, предоставление аналитического отчета в НЦПФЗОЖ – ежеквартально к 15 числу месяца, следующего за отчетным.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Предоставление в НЦПФЗОЖ ежегодного заключительного аналитического отчета по проведению профилактических медицинских (скрининговых) осмотров к 20 января следующего за отчетным периодом года.</w:t>
            </w:r>
          </w:p>
        </w:tc>
      </w:tr>
      <w:tr>
        <w:trPr>
          <w:trHeight w:val="30" w:hRule="atLeast"/>
        </w:trPr>
        <w:tc>
          <w:tcPr>
            <w:tcW w:w="7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(далее – АО)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"Национальный научный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 материнства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детства" и РГП на ПХВ МЗСР РК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"Научный центр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акушерства,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гинекологии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перинатологии"</w:t>
            </w:r>
          </w:p>
        </w:tc>
        <w:tc>
          <w:tcPr>
            <w:tcW w:w="92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Рабочей группе по научно-методическому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обеспечению скрининговых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Организационно-методическое руководство, координация,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мониторинг, оценка, практическая помощь в проведении профилактических медицинских (скрининговых) осмотров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раннему выявлению предопухолевых заболеваний шейки матки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среди отдельных целевых групп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Анализ результатов профилактических медицинских (скрининговых) осмотров, предоставление аналитического отчета в НЦПФЗОЖ – ежеквартально к 15 числу месяца, следующего за отчетным периодом.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Предоставление в НЦПФЗОЖ ежегодного заключительного аналитического отчета по проведению профилактических медицинских (скрининговых) осмотров к 20 января следующего за отчетным периодом года.</w:t>
            </w:r>
          </w:p>
        </w:tc>
      </w:tr>
      <w:tr>
        <w:trPr>
          <w:trHeight w:val="30" w:hRule="atLeast"/>
        </w:trPr>
        <w:tc>
          <w:tcPr>
            <w:tcW w:w="7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"Казахский ордена "Знак Почета"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 исследовательский институт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глазных болезней"</w:t>
            </w:r>
          </w:p>
        </w:tc>
        <w:tc>
          <w:tcPr>
            <w:tcW w:w="92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Рабочей группе по научно-методическому обеспечению скрининговых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Организационно-методическое руководство, координация, мониторинг, оценка, практическая помощь в проведении профилактических медицинских (скрининговых) осмотров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раннему выявлению глаукомы среди отдельных целевых групп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Анализ результатов профилактических медицинских (скрининговых) осмотров, предоставление аналитического отчета в НЦПФЗОЖ – ежеквартально к 15 числу месяца, следующего за отчетным периодом.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Предоставление в НЦПФЗОЖ ежегодного заключительного аналитического отчета по проведению профилактических медицинских (скрининговых) осмотров к 20 января следующего за отчетным периодом года.</w:t>
            </w:r>
          </w:p>
        </w:tc>
      </w:tr>
      <w:tr>
        <w:trPr>
          <w:trHeight w:val="30" w:hRule="atLeast"/>
        </w:trPr>
        <w:tc>
          <w:tcPr>
            <w:tcW w:w="7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научный центр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материнства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детства" и Республиканское государственное казенное предприятие (далее-РГКП) МЗСР РК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"Научный центр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педиатрии и детской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хирургии"</w:t>
            </w:r>
          </w:p>
        </w:tc>
        <w:tc>
          <w:tcPr>
            <w:tcW w:w="92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Рабочей группе по научно-методическому обеспечению скрининговых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Организационно-методическое руководство, координация, мониторинг, оценка, практическая помощь в проведении профилактических медицинских (скрининговых) осмотров, динамического наблюдения и оздоровления детского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Анализ результатов профилактических медицинских (скрининговых) осмотров, динамического наблюдения и оздоровления детского населения, предоставление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аналитического отчета в НЦПФЗОЖ – ежеквартально к 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числу месяца, следующего за отчетным.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Предоставление в НЦПФЗОЖ ежегодного заключительного аналитического отчета по проведению профилактических медицинских (скрининговых) осмотров к 20 января следующего за отчетным периодом года.</w:t>
            </w:r>
          </w:p>
        </w:tc>
      </w:tr>
      <w:tr>
        <w:trPr>
          <w:trHeight w:val="30" w:hRule="atLeast"/>
        </w:trPr>
        <w:tc>
          <w:tcPr>
            <w:tcW w:w="7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7. </w:t>
            </w:r>
          </w:p>
        </w:tc>
        <w:tc>
          <w:tcPr>
            <w:tcW w:w="2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РГКП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МЗСР РК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"Республиканская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детская клиническая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больница "Аксай"</w:t>
            </w:r>
          </w:p>
        </w:tc>
        <w:tc>
          <w:tcPr>
            <w:tcW w:w="92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Рабочей группе по научно-методическому обеспечению скрининговых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Организационно-методическое руководство, координация, мониторинг, оценка, практическая помощь в проведении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профилактических медицинских (скрининговых) осмотров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раннему выявлению тугоухости у детей.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Анализ результатов профилактических медицинских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(скрининговых) осмотров по раннему выявлению тугоухости у детей, предоставление аналитического отчета в НЦПФЗОЖ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ежеквартально к 15 числу месяца, следующего за отчетным периодом.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Предоставление в НЦПФЗОЖ ежегодного заключительного аналитического отчета по проведению профилактических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медицинских (скрининговых) осмотров к 20 января следующего за отчетным периодом года.</w:t>
            </w:r>
          </w:p>
        </w:tc>
      </w:tr>
      <w:tr>
        <w:trPr>
          <w:trHeight w:val="30" w:hRule="atLeast"/>
        </w:trPr>
        <w:tc>
          <w:tcPr>
            <w:tcW w:w="7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ограниченной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ответcтвенностью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"Мединформ"</w:t>
            </w:r>
          </w:p>
        </w:tc>
        <w:tc>
          <w:tcPr>
            <w:tcW w:w="92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Рабочей группе по научно-методическому обеспечению скрининговых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Доработка программного комплекса "АИС-Поликлиника" на постоянной основе с учетом результатов профилактических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медицинских (скрининговых) осмотров.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Сбор и формирование электронной базы данных, обработка, формирование выходных форм профилактических медицинских (скрининговых) осмотров.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Предоставление в МЗСР РК и НЦПФЗОЖ выходных форм по результатам проведения профилактических медицинских (скрининговых) осмотров – ежеквартально к 10 числу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месяца, следующего за отчетным, заключительных за год –к 5 января следующего за отчетным периодом года.</w:t>
            </w:r>
          </w:p>
        </w:tc>
      </w:tr>
      <w:tr>
        <w:trPr>
          <w:trHeight w:val="30" w:hRule="atLeast"/>
        </w:trPr>
        <w:tc>
          <w:tcPr>
            <w:tcW w:w="7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РГКП МЗСР РК "Республиканский научно-практический центр медико-социальных проблем наркомании"</w:t>
            </w:r>
          </w:p>
        </w:tc>
        <w:tc>
          <w:tcPr>
            <w:tcW w:w="92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Участие в Рабочей группе по научно-методическому обеспечению скрининговых программ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Определение уровней риска употребления психоактивных веществ среди учащихся от 17 лет и старше средних общеобразовательных школ, среднеспециальных и высших учебных заведений путем скрининговых опросов и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Анализ результатов профилактических медицинских (скрининговых) осмотров, предоставление аналитического отчета в НЦПФЗОЖ – ежеквартально к 15 числу месяца, следующего за отчетным.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Предоставление в НЦПФЗОЖ ежегодного заключительного аналитического отчета по проведению профилактических медицинских (скрининговых) осмотров к 20 января следующего за отчетным периодом года.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ns11="http://schemas.openxmlformats.org/drawingml/2006/chartDrawing" xmlns:c="http://schemas.openxmlformats.org/drawingml/2006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ns11="http://schemas.openxmlformats.org/drawingml/2006/chartDrawing" xmlns:c="http://schemas.openxmlformats.org/drawingml/2006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